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4BBDC" w14:textId="09C636D5" w:rsidR="00A002CD" w:rsidRPr="00A002CD" w:rsidRDefault="006266C0" w:rsidP="00A002CD">
      <w:pPr>
        <w:ind w:right="-19"/>
        <w:jc w:val="center"/>
        <w:rPr>
          <w:rFonts w:cstheme="minorHAnsi"/>
          <w:sz w:val="40"/>
          <w:szCs w:val="40"/>
        </w:rPr>
      </w:pPr>
      <w:r>
        <w:rPr>
          <w:noProof/>
        </w:rPr>
        <w:drawing>
          <wp:anchor distT="0" distB="0" distL="114300" distR="114300" simplePos="0" relativeHeight="251659264" behindDoc="1" locked="0" layoutInCell="1" allowOverlap="1" wp14:anchorId="1432366A" wp14:editId="4540EFE6">
            <wp:simplePos x="0" y="0"/>
            <wp:positionH relativeFrom="page">
              <wp:posOffset>-12700</wp:posOffset>
            </wp:positionH>
            <wp:positionV relativeFrom="paragraph">
              <wp:posOffset>-901700</wp:posOffset>
            </wp:positionV>
            <wp:extent cx="7550399" cy="10672077"/>
            <wp:effectExtent l="0" t="0" r="0" b="0"/>
            <wp:wrapNone/>
            <wp:docPr id="1" name="Picture 1" descr="A screenshot of a casin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asino gam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399" cy="10672077"/>
                    </a:xfrm>
                    <a:prstGeom prst="rect">
                      <a:avLst/>
                    </a:prstGeom>
                  </pic:spPr>
                </pic:pic>
              </a:graphicData>
            </a:graphic>
            <wp14:sizeRelH relativeFrom="page">
              <wp14:pctWidth>0</wp14:pctWidth>
            </wp14:sizeRelH>
            <wp14:sizeRelV relativeFrom="page">
              <wp14:pctHeight>0</wp14:pctHeight>
            </wp14:sizeRelV>
          </wp:anchor>
        </w:drawing>
      </w:r>
    </w:p>
    <w:p w14:paraId="5F57CFE5" w14:textId="77777777" w:rsidR="00A002CD" w:rsidRDefault="00A002CD">
      <w:pPr>
        <w:spacing w:line="259" w:lineRule="auto"/>
        <w:rPr>
          <w:rFonts w:ascii="Calibri" w:hAnsi="Calibri" w:cs="Calibri"/>
          <w:b/>
          <w:bCs/>
          <w:caps/>
          <w:color w:val="B4111A" w:themeColor="accent1"/>
          <w:sz w:val="36"/>
          <w:szCs w:val="36"/>
        </w:rPr>
      </w:pPr>
      <w:r>
        <w:rPr>
          <w:rFonts w:ascii="Calibri" w:hAnsi="Calibri" w:cs="Calibri"/>
          <w:bCs/>
          <w:sz w:val="36"/>
          <w:szCs w:val="36"/>
        </w:rPr>
        <w:br w:type="page"/>
      </w:r>
    </w:p>
    <w:p w14:paraId="46CF7076" w14:textId="7D3A05B8" w:rsidR="00B17DF9" w:rsidRPr="00697BAE" w:rsidRDefault="00B17DF9" w:rsidP="00B864C1">
      <w:pPr>
        <w:pStyle w:val="MChapterName"/>
        <w:tabs>
          <w:tab w:val="left" w:pos="5255"/>
          <w:tab w:val="left" w:pos="7380"/>
        </w:tabs>
        <w:spacing w:before="2880" w:after="600" w:line="240" w:lineRule="auto"/>
        <w:rPr>
          <w:rFonts w:ascii="Calibri" w:hAnsi="Calibri" w:cs="Calibri"/>
          <w:bCs/>
          <w:color w:val="000000" w:themeColor="text1"/>
          <w:sz w:val="36"/>
          <w:szCs w:val="36"/>
        </w:rPr>
      </w:pPr>
      <w:r w:rsidRPr="00697BAE">
        <w:rPr>
          <w:rFonts w:ascii="Calibri" w:hAnsi="Calibri" w:cs="Calibri"/>
          <w:bCs/>
          <w:color w:val="000000" w:themeColor="text1"/>
          <w:sz w:val="36"/>
          <w:szCs w:val="36"/>
        </w:rPr>
        <w:lastRenderedPageBreak/>
        <w:t>Table of Contents</w:t>
      </w:r>
      <w:r w:rsidR="004F43B8" w:rsidRPr="00697BAE">
        <w:rPr>
          <w:rFonts w:ascii="Calibri" w:hAnsi="Calibri" w:cs="Calibri"/>
          <w:bCs/>
          <w:color w:val="000000" w:themeColor="text1"/>
          <w:sz w:val="36"/>
          <w:szCs w:val="36"/>
        </w:rPr>
        <w:tab/>
      </w:r>
      <w:r w:rsidR="00B864C1">
        <w:rPr>
          <w:rFonts w:ascii="Calibri" w:hAnsi="Calibri" w:cs="Calibri"/>
          <w:bCs/>
          <w:color w:val="000000" w:themeColor="text1"/>
          <w:sz w:val="36"/>
          <w:szCs w:val="36"/>
        </w:rPr>
        <w:tab/>
      </w:r>
    </w:p>
    <w:p w14:paraId="4549897A" w14:textId="4BF8D5C4" w:rsidR="006266C0" w:rsidRPr="006266C0" w:rsidRDefault="006266C0" w:rsidP="006266C0">
      <w:pPr>
        <w:pStyle w:val="TOC1"/>
        <w:rPr>
          <w:rFonts w:eastAsiaTheme="minorEastAsia"/>
          <w:sz w:val="24"/>
          <w:szCs w:val="24"/>
        </w:rPr>
      </w:pPr>
      <w:r>
        <w:fldChar w:fldCharType="begin"/>
      </w:r>
      <w:r>
        <w:instrText xml:space="preserve"> TOC \t "MH4,1,MH5,2" </w:instrText>
      </w:r>
      <w:r>
        <w:fldChar w:fldCharType="separate"/>
      </w:r>
      <w:r w:rsidRPr="006266C0">
        <w:t>1.</w:t>
      </w:r>
      <w:r w:rsidRPr="006266C0">
        <w:rPr>
          <w:rFonts w:eastAsiaTheme="minorEastAsia"/>
          <w:sz w:val="24"/>
          <w:szCs w:val="24"/>
        </w:rPr>
        <w:tab/>
      </w:r>
      <w:r w:rsidRPr="006266C0">
        <w:t>BACKGROUND</w:t>
      </w:r>
      <w:r w:rsidRPr="006266C0">
        <w:tab/>
      </w:r>
      <w:r w:rsidRPr="006266C0">
        <w:fldChar w:fldCharType="begin"/>
      </w:r>
      <w:r w:rsidRPr="006266C0">
        <w:instrText xml:space="preserve"> PAGEREF _Toc194645982 \h </w:instrText>
      </w:r>
      <w:r w:rsidRPr="006266C0">
        <w:fldChar w:fldCharType="separate"/>
      </w:r>
      <w:r w:rsidRPr="006266C0">
        <w:t>1</w:t>
      </w:r>
      <w:r w:rsidRPr="006266C0">
        <w:fldChar w:fldCharType="end"/>
      </w:r>
    </w:p>
    <w:p w14:paraId="312BF22D" w14:textId="605DC3C2" w:rsidR="006266C0" w:rsidRPr="006266C0" w:rsidRDefault="006266C0" w:rsidP="006266C0">
      <w:pPr>
        <w:pStyle w:val="TOC1"/>
        <w:rPr>
          <w:rFonts w:eastAsiaTheme="minorEastAsia"/>
          <w:sz w:val="24"/>
          <w:szCs w:val="24"/>
        </w:rPr>
      </w:pPr>
      <w:r w:rsidRPr="006266C0">
        <w:t>2.</w:t>
      </w:r>
      <w:r w:rsidRPr="006266C0">
        <w:rPr>
          <w:rFonts w:eastAsiaTheme="minorEastAsia"/>
          <w:sz w:val="24"/>
          <w:szCs w:val="24"/>
        </w:rPr>
        <w:tab/>
      </w:r>
      <w:r w:rsidRPr="006266C0">
        <w:t>REASONS FOR CHANGE</w:t>
      </w:r>
      <w:r w:rsidRPr="006266C0">
        <w:tab/>
      </w:r>
      <w:r w:rsidRPr="006266C0">
        <w:fldChar w:fldCharType="begin"/>
      </w:r>
      <w:r w:rsidRPr="006266C0">
        <w:instrText xml:space="preserve"> PAGEREF _Toc194645983 \h </w:instrText>
      </w:r>
      <w:r w:rsidRPr="006266C0">
        <w:fldChar w:fldCharType="separate"/>
      </w:r>
      <w:r w:rsidRPr="006266C0">
        <w:t>1</w:t>
      </w:r>
      <w:r w:rsidRPr="006266C0">
        <w:fldChar w:fldCharType="end"/>
      </w:r>
    </w:p>
    <w:p w14:paraId="7DF66E8D" w14:textId="440119AE" w:rsidR="006266C0" w:rsidRDefault="006266C0" w:rsidP="006266C0">
      <w:pPr>
        <w:pStyle w:val="TOC2"/>
        <w:rPr>
          <w:rFonts w:eastAsiaTheme="minorEastAsia"/>
          <w:sz w:val="24"/>
          <w:szCs w:val="24"/>
        </w:rPr>
      </w:pPr>
      <w:r w:rsidRPr="003E311D">
        <w:rPr>
          <w:iCs/>
        </w:rPr>
        <w:t>2.1</w:t>
      </w:r>
      <w:r>
        <w:rPr>
          <w:rFonts w:eastAsiaTheme="minorEastAsia"/>
          <w:sz w:val="24"/>
          <w:szCs w:val="24"/>
        </w:rPr>
        <w:tab/>
      </w:r>
      <w:r>
        <w:t>Gaming transactions</w:t>
      </w:r>
      <w:r>
        <w:tab/>
      </w:r>
      <w:r>
        <w:fldChar w:fldCharType="begin"/>
      </w:r>
      <w:r>
        <w:instrText xml:space="preserve"> PAGEREF _Toc194645984 \h </w:instrText>
      </w:r>
      <w:r>
        <w:fldChar w:fldCharType="separate"/>
      </w:r>
      <w:r>
        <w:t>1</w:t>
      </w:r>
      <w:r>
        <w:fldChar w:fldCharType="end"/>
      </w:r>
    </w:p>
    <w:p w14:paraId="71FC1EFD" w14:textId="7A19D70B" w:rsidR="006266C0" w:rsidRDefault="006266C0" w:rsidP="006266C0">
      <w:pPr>
        <w:pStyle w:val="TOC2"/>
        <w:rPr>
          <w:rFonts w:eastAsiaTheme="minorEastAsia"/>
          <w:sz w:val="24"/>
          <w:szCs w:val="24"/>
        </w:rPr>
      </w:pPr>
      <w:r w:rsidRPr="003E311D">
        <w:rPr>
          <w:iCs/>
        </w:rPr>
        <w:t>2.2</w:t>
      </w:r>
      <w:r>
        <w:rPr>
          <w:rFonts w:eastAsiaTheme="minorEastAsia"/>
          <w:sz w:val="24"/>
          <w:szCs w:val="24"/>
        </w:rPr>
        <w:tab/>
      </w:r>
      <w:r>
        <w:t>Calculation of table win or loss</w:t>
      </w:r>
      <w:r>
        <w:tab/>
      </w:r>
      <w:r>
        <w:fldChar w:fldCharType="begin"/>
      </w:r>
      <w:r>
        <w:instrText xml:space="preserve"> PAGEREF _Toc194645985 \h </w:instrText>
      </w:r>
      <w:r>
        <w:fldChar w:fldCharType="separate"/>
      </w:r>
      <w:r>
        <w:t>2</w:t>
      </w:r>
      <w:r>
        <w:fldChar w:fldCharType="end"/>
      </w:r>
    </w:p>
    <w:p w14:paraId="703DD534" w14:textId="5700B874" w:rsidR="006266C0" w:rsidRPr="006266C0" w:rsidRDefault="006266C0" w:rsidP="006266C0">
      <w:pPr>
        <w:pStyle w:val="TOC1"/>
        <w:rPr>
          <w:rFonts w:eastAsiaTheme="minorEastAsia"/>
          <w:sz w:val="24"/>
          <w:szCs w:val="24"/>
        </w:rPr>
      </w:pPr>
      <w:r w:rsidRPr="006266C0">
        <w:t>3.</w:t>
      </w:r>
      <w:r w:rsidRPr="006266C0">
        <w:rPr>
          <w:rFonts w:eastAsiaTheme="minorEastAsia"/>
          <w:sz w:val="24"/>
          <w:szCs w:val="24"/>
        </w:rPr>
        <w:tab/>
      </w:r>
      <w:r w:rsidRPr="006266C0">
        <w:t>DETAILED EXPLANATION OF THE REGULATIONS</w:t>
      </w:r>
      <w:r w:rsidRPr="006266C0">
        <w:tab/>
      </w:r>
      <w:r w:rsidRPr="006266C0">
        <w:fldChar w:fldCharType="begin"/>
      </w:r>
      <w:r w:rsidRPr="006266C0">
        <w:instrText xml:space="preserve"> PAGEREF _Toc194645986 \h </w:instrText>
      </w:r>
      <w:r w:rsidRPr="006266C0">
        <w:fldChar w:fldCharType="separate"/>
      </w:r>
      <w:r w:rsidRPr="006266C0">
        <w:t>2</w:t>
      </w:r>
      <w:r w:rsidRPr="006266C0">
        <w:fldChar w:fldCharType="end"/>
      </w:r>
    </w:p>
    <w:p w14:paraId="0F29317E" w14:textId="207BEDB3" w:rsidR="006266C0" w:rsidRDefault="006266C0" w:rsidP="006266C0">
      <w:pPr>
        <w:pStyle w:val="TOC2"/>
        <w:rPr>
          <w:rFonts w:eastAsiaTheme="minorEastAsia"/>
          <w:sz w:val="24"/>
          <w:szCs w:val="24"/>
        </w:rPr>
      </w:pPr>
      <w:r w:rsidRPr="003E311D">
        <w:rPr>
          <w:iCs/>
        </w:rPr>
        <w:t>3.1</w:t>
      </w:r>
      <w:r>
        <w:rPr>
          <w:rFonts w:eastAsiaTheme="minorEastAsia"/>
          <w:sz w:val="24"/>
          <w:szCs w:val="24"/>
        </w:rPr>
        <w:tab/>
      </w:r>
      <w:r>
        <w:t>Regulation 1: Definitions</w:t>
      </w:r>
      <w:r>
        <w:tab/>
      </w:r>
      <w:r>
        <w:fldChar w:fldCharType="begin"/>
      </w:r>
      <w:r>
        <w:instrText xml:space="preserve"> PAGEREF _Toc194645987 \h </w:instrText>
      </w:r>
      <w:r>
        <w:fldChar w:fldCharType="separate"/>
      </w:r>
      <w:r>
        <w:t>2</w:t>
      </w:r>
      <w:r>
        <w:fldChar w:fldCharType="end"/>
      </w:r>
    </w:p>
    <w:p w14:paraId="3A5C5D28" w14:textId="522D99DF" w:rsidR="006266C0" w:rsidRDefault="006266C0" w:rsidP="006266C0">
      <w:pPr>
        <w:pStyle w:val="TOC2"/>
        <w:rPr>
          <w:rFonts w:eastAsiaTheme="minorEastAsia"/>
          <w:sz w:val="24"/>
          <w:szCs w:val="24"/>
        </w:rPr>
      </w:pPr>
      <w:r w:rsidRPr="003E311D">
        <w:rPr>
          <w:iCs/>
        </w:rPr>
        <w:t>3.2</w:t>
      </w:r>
      <w:r>
        <w:rPr>
          <w:rFonts w:eastAsiaTheme="minorEastAsia"/>
          <w:sz w:val="24"/>
          <w:szCs w:val="24"/>
        </w:rPr>
        <w:tab/>
      </w:r>
      <w:r>
        <w:t>Regulation 2: Accounting for VAT on the VAT201</w:t>
      </w:r>
      <w:r>
        <w:tab/>
      </w:r>
      <w:r>
        <w:fldChar w:fldCharType="begin"/>
      </w:r>
      <w:r>
        <w:instrText xml:space="preserve"> PAGEREF _Toc194645988 \h </w:instrText>
      </w:r>
      <w:r>
        <w:fldChar w:fldCharType="separate"/>
      </w:r>
      <w:r>
        <w:t>3</w:t>
      </w:r>
      <w:r>
        <w:fldChar w:fldCharType="end"/>
      </w:r>
    </w:p>
    <w:p w14:paraId="046E8BB8" w14:textId="08B8C085" w:rsidR="006266C0" w:rsidRDefault="006266C0" w:rsidP="006266C0">
      <w:pPr>
        <w:pStyle w:val="TOC1"/>
        <w:rPr>
          <w:rFonts w:eastAsiaTheme="minorEastAsia"/>
          <w:sz w:val="24"/>
          <w:szCs w:val="24"/>
        </w:rPr>
      </w:pPr>
      <w:r>
        <w:t>4.</w:t>
      </w:r>
      <w:r>
        <w:rPr>
          <w:rFonts w:eastAsiaTheme="minorEastAsia"/>
          <w:sz w:val="24"/>
          <w:szCs w:val="24"/>
        </w:rPr>
        <w:tab/>
      </w:r>
      <w:r>
        <w:t>EFFECTIVE DATE</w:t>
      </w:r>
      <w:r>
        <w:tab/>
      </w:r>
      <w:r>
        <w:fldChar w:fldCharType="begin"/>
      </w:r>
      <w:r>
        <w:instrText xml:space="preserve"> PAGEREF _Toc194645989 \h </w:instrText>
      </w:r>
      <w:r>
        <w:fldChar w:fldCharType="separate"/>
      </w:r>
      <w:r>
        <w:t>3</w:t>
      </w:r>
      <w:r>
        <w:fldChar w:fldCharType="end"/>
      </w:r>
    </w:p>
    <w:p w14:paraId="2EC27B89" w14:textId="1FF2D090" w:rsidR="00B17DF9" w:rsidRPr="00B17DF9" w:rsidRDefault="006266C0" w:rsidP="00B17DF9">
      <w:r>
        <w:rPr>
          <w:caps/>
        </w:rPr>
        <w:fldChar w:fldCharType="end"/>
      </w:r>
    </w:p>
    <w:p w14:paraId="7609FBA0" w14:textId="77777777" w:rsidR="00B17DF9" w:rsidRPr="00B17DF9" w:rsidRDefault="00B17DF9" w:rsidP="00B17DF9"/>
    <w:p w14:paraId="7807268D" w14:textId="77777777" w:rsidR="00B17DF9" w:rsidRPr="00B17DF9" w:rsidRDefault="00B17DF9" w:rsidP="00B17DF9"/>
    <w:p w14:paraId="455EF21F" w14:textId="77777777" w:rsidR="00B17DF9" w:rsidRDefault="00B17DF9" w:rsidP="00B17DF9"/>
    <w:p w14:paraId="667B75B0" w14:textId="77777777" w:rsidR="00B17DF9" w:rsidRDefault="00B17DF9" w:rsidP="00B17DF9"/>
    <w:p w14:paraId="295EC664" w14:textId="77777777" w:rsidR="00B17DF9" w:rsidRDefault="00B17DF9" w:rsidP="00B17DF9"/>
    <w:p w14:paraId="33EDC1EC" w14:textId="77777777" w:rsidR="00B17DF9" w:rsidRDefault="00B17DF9" w:rsidP="00B17DF9"/>
    <w:p w14:paraId="43353B2C" w14:textId="77777777" w:rsidR="00B17DF9" w:rsidRDefault="00B17DF9" w:rsidP="00B17DF9"/>
    <w:p w14:paraId="6C2BE8EA" w14:textId="77777777" w:rsidR="00B17DF9" w:rsidRDefault="00B17DF9" w:rsidP="00B17DF9"/>
    <w:p w14:paraId="6B93425B" w14:textId="77777777" w:rsidR="00B17DF9" w:rsidRPr="00B17DF9" w:rsidRDefault="00B17DF9" w:rsidP="00B17DF9">
      <w:pPr>
        <w:sectPr w:rsidR="00B17DF9" w:rsidRPr="00B17DF9" w:rsidSect="004F43B8">
          <w:headerReference w:type="even" r:id="rId12"/>
          <w:headerReference w:type="default" r:id="rId13"/>
          <w:footerReference w:type="default" r:id="rId14"/>
          <w:headerReference w:type="first" r:id="rId15"/>
          <w:pgSz w:w="11907" w:h="16840" w:code="9"/>
          <w:pgMar w:top="1440" w:right="1440" w:bottom="1440" w:left="1440" w:header="851" w:footer="851" w:gutter="0"/>
          <w:pgNumType w:fmt="lowerRoman"/>
          <w:cols w:space="708"/>
          <w:titlePg/>
          <w:docGrid w:linePitch="360"/>
        </w:sectPr>
      </w:pPr>
    </w:p>
    <w:p w14:paraId="742E977B" w14:textId="71E92D82" w:rsidR="008C0B89" w:rsidRDefault="008C0B89" w:rsidP="008C0B89">
      <w:pPr>
        <w:pStyle w:val="MH4"/>
      </w:pPr>
      <w:bookmarkStart w:id="0" w:name="_Toc194645982"/>
      <w:r>
        <w:t>BACKGROUND</w:t>
      </w:r>
      <w:bookmarkEnd w:id="0"/>
      <w:r>
        <w:t xml:space="preserve"> </w:t>
      </w:r>
    </w:p>
    <w:p w14:paraId="65DB0859" w14:textId="77777777" w:rsidR="008C0B89" w:rsidRDefault="008C0B89" w:rsidP="008C0B89">
      <w:pPr>
        <w:pStyle w:val="MParagraph"/>
      </w:pPr>
      <w:r>
        <w:t xml:space="preserve">The gambling industry was permitted to account for value-added tax (VAT) by applying the tax fraction to the net betting transactions (on the amount remaining after winnings have been deducted which is known as the “net drop method”) for casino games of chance under the “section 72 arrangement” contained in Binding General Ruling 13 (issue 2) (BGR 13) that was issued on 22 March 2013. </w:t>
      </w:r>
    </w:p>
    <w:p w14:paraId="7DC03455" w14:textId="77777777" w:rsidR="008C0B89" w:rsidRDefault="008C0B89" w:rsidP="008C0B89">
      <w:pPr>
        <w:pStyle w:val="MParagraph"/>
      </w:pPr>
      <w:r>
        <w:t>Section 8(13) of the VAT Act deems the person with whom a bet is placed, to have supplied a service to the person that has bet an amount on the outcome of a race, or other event/occurrence. Section 16(3)(</w:t>
      </w:r>
      <w:r>
        <w:rPr>
          <w:i/>
        </w:rPr>
        <w:t>d</w:t>
      </w:r>
      <w:r>
        <w:t xml:space="preserve">) of the VAT Act allows a deduction equal to the tax fraction of amounts paid by a supplier in respect of betting services contemplated in section 8(13) of the VAT Act, as prizes or winnings to the recipient of such betting services.  </w:t>
      </w:r>
    </w:p>
    <w:p w14:paraId="33545958" w14:textId="77777777" w:rsidR="008C0B89" w:rsidRDefault="008C0B89" w:rsidP="008C0B89">
      <w:pPr>
        <w:pStyle w:val="MParagraph"/>
      </w:pPr>
      <w:r>
        <w:t xml:space="preserve">The recent legislative amendment to section 72 of the VAT Act led to the expiry of BGR 13 on 31 December 2021 which has placed suppliers of table games of chance in difficulty when completing their VAT returns. As an interim measure, a decision was made under the amended provisions of section 72 of the VAT Act, which is contained in Binding General Ruling 59 that was issued on 13 December 2021, to prescribe a method for vendors to determine the VAT liability and account for VAT with regard to the supplies in relation to casino table games of chance. </w:t>
      </w:r>
    </w:p>
    <w:p w14:paraId="4BEB911A" w14:textId="77777777" w:rsidR="008C0B89" w:rsidRDefault="008C0B89" w:rsidP="008C0B89">
      <w:pPr>
        <w:pStyle w:val="MParagraph"/>
      </w:pPr>
      <w:r>
        <w:t xml:space="preserve">The Regulations now brings that arrangement into the law. </w:t>
      </w:r>
    </w:p>
    <w:p w14:paraId="22C25019" w14:textId="0204DCA3" w:rsidR="008C0B89" w:rsidRDefault="008C0B89" w:rsidP="008C0B89">
      <w:pPr>
        <w:pStyle w:val="MH4"/>
      </w:pPr>
      <w:bookmarkStart w:id="1" w:name="_Toc194645983"/>
      <w:r>
        <w:t>REASONS FOR CHANGE</w:t>
      </w:r>
      <w:bookmarkEnd w:id="1"/>
      <w:r>
        <w:t xml:space="preserve"> </w:t>
      </w:r>
    </w:p>
    <w:p w14:paraId="52438720" w14:textId="77777777" w:rsidR="008C0B89" w:rsidRDefault="008C0B89" w:rsidP="008C0B89">
      <w:pPr>
        <w:pStyle w:val="MParagraph"/>
      </w:pPr>
      <w:r>
        <w:t xml:space="preserve">The gambling industry does not work within the usual confines of the VAT Act and South Africa is one of a few countries that taxes betting transactions. A casino/bookmaker accounts for output tax on all bets placed and may deduct input tax on any winnings paid to punters. The nature of betting transactions in the casino industry, especially the table game of chance, makes it difficult to separate bets placed by punters and winnings paid to punters.  </w:t>
      </w:r>
    </w:p>
    <w:p w14:paraId="3D504D64" w14:textId="77777777" w:rsidR="008C0B89" w:rsidRDefault="008C0B89" w:rsidP="008C0B89">
      <w:pPr>
        <w:pStyle w:val="MParagraph"/>
      </w:pPr>
      <w:r>
        <w:t xml:space="preserve">Considering the nature of the table game of chance, the number of punters, the number of bets placed, and the game’s speed, all of which are essential for running a successful table operation, it is practically impossible to record each bet and pay-out for a casino table game of chance. These practicalities in respect of a table game of chance make it virtually impossible to separate bets placed by punters and winnings paid to punters by gaming operators as can be noted from the process below. </w:t>
      </w:r>
    </w:p>
    <w:p w14:paraId="0A3A5E2A" w14:textId="77777777" w:rsidR="008C0B89" w:rsidRPr="00195442" w:rsidRDefault="008C0B89" w:rsidP="008C0B89">
      <w:pPr>
        <w:pStyle w:val="MH5"/>
      </w:pPr>
      <w:bookmarkStart w:id="2" w:name="_Toc194645984"/>
      <w:r w:rsidRPr="00195442">
        <w:t>Gaming transactions</w:t>
      </w:r>
      <w:bookmarkEnd w:id="2"/>
      <w:r w:rsidRPr="00195442">
        <w:t xml:space="preserve">  </w:t>
      </w:r>
    </w:p>
    <w:p w14:paraId="029B81E1" w14:textId="77777777" w:rsidR="008C0B89" w:rsidRDefault="008C0B89" w:rsidP="008C0B89">
      <w:pPr>
        <w:pStyle w:val="MParagraph"/>
      </w:pPr>
      <w:r>
        <w:t xml:space="preserve">The gaming transactions operate as follows for table games of chance:  </w:t>
      </w:r>
    </w:p>
    <w:p w14:paraId="79542A34" w14:textId="77777777" w:rsidR="008C0B89" w:rsidRDefault="008C0B89" w:rsidP="008C0B89">
      <w:pPr>
        <w:pStyle w:val="MBullet"/>
      </w:pPr>
      <w:r>
        <w:t xml:space="preserve">Table games operate with a variety of denominations of chips, for example, R100, R500, R1 000.  </w:t>
      </w:r>
    </w:p>
    <w:p w14:paraId="407BAA0F" w14:textId="77777777" w:rsidR="008C0B89" w:rsidRDefault="008C0B89" w:rsidP="008C0B89">
      <w:pPr>
        <w:pStyle w:val="MBullet"/>
      </w:pPr>
      <w:r>
        <w:t xml:space="preserve">A punter wanting to play on the tables buys-in with cash, a cash plaque, being a high denomination value representation obtained from the cash desk, by way of a cash withdrawal from the punter's casino card or by buying in with chips.  </w:t>
      </w:r>
    </w:p>
    <w:p w14:paraId="71829070" w14:textId="5F02DF8E" w:rsidR="008C0B89" w:rsidRDefault="008C0B89" w:rsidP="008C0B89">
      <w:pPr>
        <w:pStyle w:val="MBullet"/>
      </w:pPr>
      <w:r>
        <w:t xml:space="preserve">Any cash, plaques or cash withdrawal slips are placed in the drop box (a sealed box attached to each table), whilst chips received are placed in the table’s chip tray, where all chips not in play, are kept.  </w:t>
      </w:r>
    </w:p>
    <w:p w14:paraId="54F98F32" w14:textId="77777777" w:rsidR="008C0B89" w:rsidRDefault="008C0B89" w:rsidP="008C0B89">
      <w:pPr>
        <w:pStyle w:val="MBullet"/>
      </w:pPr>
      <w:r>
        <w:t xml:space="preserve">All bets are placed with chips, which if lost, get returned to the chip tray. All winning bets are paid out to the punter with chips from the chip tray.  </w:t>
      </w:r>
    </w:p>
    <w:p w14:paraId="2160B05E" w14:textId="77777777" w:rsidR="008C0B89" w:rsidRDefault="008C0B89" w:rsidP="008C0B89">
      <w:pPr>
        <w:pStyle w:val="MBullet"/>
      </w:pPr>
      <w:r>
        <w:t xml:space="preserve">In case of a shortage of a certain denomination of chips on the table, the table obtains a “fill” from the cash desk. The fill is documented by placing one copy of the fill slip in the drop box.  </w:t>
      </w:r>
    </w:p>
    <w:p w14:paraId="598F273F" w14:textId="77777777" w:rsidR="008C0B89" w:rsidRDefault="008C0B89" w:rsidP="008C0B89">
      <w:pPr>
        <w:pStyle w:val="MBullet"/>
      </w:pPr>
      <w:r>
        <w:t xml:space="preserve">In case of a surplus of chips in the chip tray, the table can return chips to the cash desk, which is also documented by placing one copy of the “credit slip” in the drop box.  </w:t>
      </w:r>
    </w:p>
    <w:p w14:paraId="63E17CD8" w14:textId="77777777" w:rsidR="008C0B89" w:rsidRDefault="008C0B89" w:rsidP="008C0B89">
      <w:pPr>
        <w:pStyle w:val="MBullet"/>
      </w:pPr>
      <w:r>
        <w:t xml:space="preserve">Due to the number of punters, the number of bets being placed, and the speed of the game, all of which are essential for running a successful table operation, it is virtually impossible to record each bet and pay out for a casino table game.  </w:t>
      </w:r>
    </w:p>
    <w:p w14:paraId="19AB9987" w14:textId="77777777" w:rsidR="008C0B89" w:rsidRPr="00195442" w:rsidRDefault="008C0B89" w:rsidP="008C0B89">
      <w:pPr>
        <w:pStyle w:val="MH5"/>
      </w:pPr>
      <w:bookmarkStart w:id="3" w:name="_Toc194645985"/>
      <w:r w:rsidRPr="00195442">
        <w:t>Calculation of table win or loss</w:t>
      </w:r>
      <w:bookmarkEnd w:id="3"/>
      <w:r w:rsidRPr="00195442">
        <w:t xml:space="preserve">  </w:t>
      </w:r>
    </w:p>
    <w:p w14:paraId="5BB32D9A" w14:textId="77777777" w:rsidR="008C0B89" w:rsidRDefault="008C0B89" w:rsidP="008C0B89">
      <w:pPr>
        <w:pStyle w:val="MParagraph"/>
      </w:pPr>
      <w:r>
        <w:t xml:space="preserve">In practice, the table win, or loss is calculated as follows:  </w:t>
      </w:r>
    </w:p>
    <w:p w14:paraId="2AD3F616" w14:textId="77777777" w:rsidR="008C0B89" w:rsidRDefault="008C0B89" w:rsidP="008C0B89">
      <w:pPr>
        <w:pStyle w:val="MBullet"/>
      </w:pPr>
      <w:r>
        <w:t xml:space="preserve">Drop (cash, plaques and cash withdrawal slips), plus closing float of chips in the chip tray, minus opening float of chips in the chip tray, minus fills, plus credits.  </w:t>
      </w:r>
    </w:p>
    <w:p w14:paraId="784E0531" w14:textId="77777777" w:rsidR="008C0B89" w:rsidRDefault="008C0B89" w:rsidP="008C0B89">
      <w:pPr>
        <w:pStyle w:val="MBullet"/>
      </w:pPr>
      <w:r>
        <w:t xml:space="preserve">The result is the table win or loss, which is relevant for accounting purposes and for determining the operator's liability for gaming tax in terms of the relevant provincial Gambling Regulations. </w:t>
      </w:r>
    </w:p>
    <w:p w14:paraId="3F5A29C9" w14:textId="77777777" w:rsidR="008C0B89" w:rsidRDefault="008C0B89" w:rsidP="008C0B89">
      <w:pPr>
        <w:pStyle w:val="MBullet"/>
      </w:pPr>
      <w:r>
        <w:t xml:space="preserve">The win per table is determined every 24 hours.  </w:t>
      </w:r>
    </w:p>
    <w:p w14:paraId="3DEB86A4" w14:textId="47847C1B" w:rsidR="008C0B89" w:rsidRDefault="008C0B89" w:rsidP="008C0B89">
      <w:pPr>
        <w:pStyle w:val="MParagraph"/>
      </w:pPr>
      <w:r>
        <w:t xml:space="preserve"> Based on the above, the gambling industry experiences difficulties in reflecting output tax under section 8(13) of the VAT Act, separately from input tax deducted under section 16(3)(</w:t>
      </w:r>
      <w:r>
        <w:rPr>
          <w:i/>
        </w:rPr>
        <w:t>d</w:t>
      </w:r>
      <w:r>
        <w:t xml:space="preserve">) of the VAT Act, for purposes of completing the VAT201 return. </w:t>
      </w:r>
    </w:p>
    <w:p w14:paraId="6FED2B53" w14:textId="5B59BBEE" w:rsidR="008C0B89" w:rsidRDefault="008C0B89" w:rsidP="008C0B89">
      <w:pPr>
        <w:pStyle w:val="MH4"/>
      </w:pPr>
      <w:bookmarkStart w:id="4" w:name="_Toc194645986"/>
      <w:r>
        <w:t>DETAILED EXPLANATION OF THE REGULATIONS</w:t>
      </w:r>
      <w:bookmarkEnd w:id="4"/>
      <w:r>
        <w:t xml:space="preserve"> </w:t>
      </w:r>
    </w:p>
    <w:p w14:paraId="44815AC3" w14:textId="77777777" w:rsidR="008C0B89" w:rsidRDefault="008C0B89" w:rsidP="008C0B89">
      <w:pPr>
        <w:pStyle w:val="MParagraph"/>
      </w:pPr>
      <w:r>
        <w:t xml:space="preserve">The Regulations are for prescribing the “gross gaming revenue” as a method for determining the VAT liability in respect of casino table games of chance.  </w:t>
      </w:r>
    </w:p>
    <w:p w14:paraId="24377A40" w14:textId="1567BB0C" w:rsidR="008C0B89" w:rsidRPr="00AD7D3A" w:rsidRDefault="008C0B89" w:rsidP="008C0B89">
      <w:pPr>
        <w:pStyle w:val="MH5"/>
        <w:rPr>
          <w:i/>
        </w:rPr>
      </w:pPr>
      <w:bookmarkStart w:id="5" w:name="_Toc194645987"/>
      <w:r w:rsidRPr="00AD7D3A">
        <w:t>Regulation 1: Definitions</w:t>
      </w:r>
      <w:bookmarkEnd w:id="5"/>
    </w:p>
    <w:p w14:paraId="2FE92EB0" w14:textId="1C1039A7" w:rsidR="008C0B89" w:rsidRDefault="008C0B89" w:rsidP="00E07325">
      <w:pPr>
        <w:pStyle w:val="MH6"/>
      </w:pPr>
      <w:r w:rsidRPr="00AD7D3A">
        <w:rPr>
          <w:iCs/>
        </w:rPr>
        <w:t xml:space="preserve"> </w:t>
      </w:r>
      <w:r>
        <w:t xml:space="preserve">“Casino” </w:t>
      </w:r>
    </w:p>
    <w:p w14:paraId="5E0323F8" w14:textId="77777777" w:rsidR="008C0B89" w:rsidRDefault="008C0B89" w:rsidP="00E07325">
      <w:pPr>
        <w:pStyle w:val="MParagraph"/>
      </w:pPr>
      <w:r>
        <w:t>The term “casino” means a “casino”, as defined in section 1 of the National Gambling Act, 2004 (Act 7 of 2004) (“the National Gambling Act”) that is operated by a person that is “licensed”, as contemplated in section 1 of that Act, and is a registered vendor. The proposed amendment will clarify what is meant to be a “casino” and the group of vendors affected by the Regulations.</w:t>
      </w:r>
    </w:p>
    <w:p w14:paraId="293D5BED" w14:textId="2F60142B" w:rsidR="008C0B89" w:rsidRDefault="008C0B89" w:rsidP="001F1FFC">
      <w:pPr>
        <w:pStyle w:val="MH6"/>
      </w:pPr>
      <w:r>
        <w:t xml:space="preserve"> “Gross gaming revenue” </w:t>
      </w:r>
    </w:p>
    <w:p w14:paraId="397F20CB" w14:textId="77777777" w:rsidR="008C0B89" w:rsidRDefault="008C0B89" w:rsidP="001F1FFC">
      <w:pPr>
        <w:pStyle w:val="MParagraph"/>
      </w:pPr>
      <w:r>
        <w:t xml:space="preserve">The term "gross gaming revenue” is an amount determined, under the applicable provincial gambling legislation, for each table game. It is determined by the closing bankroll plus credit slips for cash, chips or tokens returned to the casino cage, plus drop, less opening bankroll and fills to the table. The proposed amendment clarifies the amount to be recognized as the “gross gaming revenue”.  </w:t>
      </w:r>
    </w:p>
    <w:p w14:paraId="46A3307D" w14:textId="7BD0E861" w:rsidR="008C0B89" w:rsidRDefault="008C0B89" w:rsidP="001F1FFC">
      <w:pPr>
        <w:pStyle w:val="MH6"/>
      </w:pPr>
      <w:r>
        <w:t xml:space="preserve">“Table game of chance” </w:t>
      </w:r>
    </w:p>
    <w:p w14:paraId="68E49B66" w14:textId="77777777" w:rsidR="008C0B89" w:rsidRDefault="008C0B89" w:rsidP="001F1FFC">
      <w:pPr>
        <w:pStyle w:val="MParagraph"/>
      </w:pPr>
      <w:r>
        <w:t xml:space="preserve">The term “table game of chance” means a “gambling game”, as defined in the National Gambling Act, that -is played against the casino and operated by one or more live croupiers. The proposed amendment clarifies the type of game the Regulations refer to. </w:t>
      </w:r>
    </w:p>
    <w:p w14:paraId="6C0F0571" w14:textId="7334044B" w:rsidR="008C0B89" w:rsidRPr="00AD7D3A" w:rsidRDefault="008C0B89" w:rsidP="001F1FFC">
      <w:pPr>
        <w:pStyle w:val="MH5"/>
        <w:rPr>
          <w:i/>
        </w:rPr>
      </w:pPr>
      <w:bookmarkStart w:id="6" w:name="_Toc194645988"/>
      <w:r w:rsidRPr="00AD7D3A">
        <w:t>Regulation 2: Accounting for VAT on the VAT201</w:t>
      </w:r>
      <w:bookmarkEnd w:id="6"/>
      <w:r w:rsidRPr="00AD7D3A">
        <w:t xml:space="preserve"> </w:t>
      </w:r>
    </w:p>
    <w:p w14:paraId="0E821FA9" w14:textId="77777777" w:rsidR="008C0B89" w:rsidRDefault="008C0B89" w:rsidP="001F1FFC">
      <w:pPr>
        <w:pStyle w:val="MParagraph"/>
      </w:pPr>
      <w:r>
        <w:t xml:space="preserve">A casino may account for VAT on its VAT returns in respect of table games of chance, on the “gross gaming revenue”, for the relevant tax period, subject to the following:  </w:t>
      </w:r>
    </w:p>
    <w:p w14:paraId="313DB537" w14:textId="5CE4BB26" w:rsidR="008C0B89" w:rsidRPr="001F1FFC" w:rsidRDefault="008C0B89" w:rsidP="001F1FFC">
      <w:pPr>
        <w:pStyle w:val="MH6"/>
        <w:spacing w:before="120" w:line="276" w:lineRule="auto"/>
        <w:jc w:val="both"/>
        <w:rPr>
          <w:b w:val="0"/>
          <w:bCs w:val="0"/>
          <w:sz w:val="22"/>
          <w:szCs w:val="22"/>
        </w:rPr>
      </w:pPr>
      <w:r w:rsidRPr="001F1FFC">
        <w:rPr>
          <w:b w:val="0"/>
          <w:bCs w:val="0"/>
          <w:sz w:val="22"/>
          <w:szCs w:val="22"/>
        </w:rPr>
        <w:t xml:space="preserve">Gross gaming revenue in respect of table games of chance must be included in field 1 of the VAT return, with the tax fraction applied to that amount reflected in field 4. </w:t>
      </w:r>
    </w:p>
    <w:p w14:paraId="51C79656" w14:textId="31AAB107" w:rsidR="008C0B89" w:rsidRPr="001F1FFC" w:rsidRDefault="008C0B89" w:rsidP="001F1FFC">
      <w:pPr>
        <w:pStyle w:val="MH6"/>
        <w:spacing w:before="120" w:line="276" w:lineRule="auto"/>
        <w:jc w:val="both"/>
        <w:rPr>
          <w:b w:val="0"/>
          <w:bCs w:val="0"/>
          <w:sz w:val="22"/>
          <w:szCs w:val="22"/>
        </w:rPr>
      </w:pPr>
      <w:r w:rsidRPr="001F1FFC">
        <w:rPr>
          <w:b w:val="0"/>
          <w:bCs w:val="0"/>
          <w:sz w:val="22"/>
          <w:szCs w:val="22"/>
        </w:rPr>
        <w:t xml:space="preserve"> Casinos are not entitled to any deductions under section 16(3)(</w:t>
      </w:r>
      <w:r w:rsidRPr="001F1FFC">
        <w:rPr>
          <w:b w:val="0"/>
          <w:bCs w:val="0"/>
          <w:i/>
          <w:sz w:val="22"/>
          <w:szCs w:val="22"/>
        </w:rPr>
        <w:t>d</w:t>
      </w:r>
      <w:r w:rsidRPr="001F1FFC">
        <w:rPr>
          <w:b w:val="0"/>
          <w:bCs w:val="0"/>
          <w:sz w:val="22"/>
          <w:szCs w:val="22"/>
        </w:rPr>
        <w:t xml:space="preserve">) of the VAT Act if such an amount has been included in calculating the gross gaming revenue. </w:t>
      </w:r>
    </w:p>
    <w:p w14:paraId="41C1A595" w14:textId="144A9757" w:rsidR="008C0B89" w:rsidRPr="001F1FFC" w:rsidRDefault="008C0B89" w:rsidP="001F1FFC">
      <w:pPr>
        <w:pStyle w:val="MH6"/>
        <w:spacing w:before="120" w:line="276" w:lineRule="auto"/>
        <w:jc w:val="both"/>
        <w:rPr>
          <w:b w:val="0"/>
          <w:bCs w:val="0"/>
          <w:sz w:val="22"/>
          <w:szCs w:val="22"/>
        </w:rPr>
      </w:pPr>
      <w:r w:rsidRPr="001F1FFC">
        <w:rPr>
          <w:b w:val="0"/>
          <w:bCs w:val="0"/>
          <w:sz w:val="22"/>
          <w:szCs w:val="22"/>
        </w:rPr>
        <w:t xml:space="preserve"> Casinos are required to maintain adequate records to enable SARS to verify the validity and accuracy of the tax liability calculated and included in the VAT return, as set out above, and in particular, the records for the purpose of audits conducted by the provincial Gaming Boards. </w:t>
      </w:r>
    </w:p>
    <w:p w14:paraId="616EEE2E" w14:textId="35A732C3" w:rsidR="008C0B89" w:rsidRDefault="008C0B89" w:rsidP="006266C0">
      <w:pPr>
        <w:pStyle w:val="MH4"/>
      </w:pPr>
      <w:bookmarkStart w:id="7" w:name="_Toc194645989"/>
      <w:r>
        <w:t>EFFECTIVE DATE</w:t>
      </w:r>
      <w:bookmarkEnd w:id="7"/>
      <w:r>
        <w:t xml:space="preserve"> </w:t>
      </w:r>
    </w:p>
    <w:p w14:paraId="77B44016" w14:textId="7891FD40" w:rsidR="006266C0" w:rsidRDefault="008C0B89" w:rsidP="006266C0">
      <w:pPr>
        <w:pStyle w:val="MParagraph"/>
      </w:pPr>
      <w:r>
        <w:t xml:space="preserve">The Regulations </w:t>
      </w:r>
      <w:r w:rsidR="00CC42EA">
        <w:t xml:space="preserve">come </w:t>
      </w:r>
      <w:r>
        <w:t xml:space="preserve">into effect on 1 January 2025. </w:t>
      </w:r>
    </w:p>
    <w:p w14:paraId="4A028956" w14:textId="77777777" w:rsidR="006266C0" w:rsidRDefault="006266C0">
      <w:pPr>
        <w:spacing w:line="259" w:lineRule="auto"/>
      </w:pPr>
      <w:r>
        <w:br w:type="page"/>
      </w:r>
    </w:p>
    <w:p w14:paraId="6C04DBE5" w14:textId="37B7DFD8" w:rsidR="008C0B89" w:rsidRDefault="006266C0" w:rsidP="006266C0">
      <w:pPr>
        <w:pStyle w:val="MParagraph"/>
      </w:pPr>
      <w:r>
        <w:rPr>
          <w:noProof/>
        </w:rPr>
        <w:drawing>
          <wp:anchor distT="0" distB="0" distL="114300" distR="114300" simplePos="0" relativeHeight="251661312" behindDoc="1" locked="0" layoutInCell="1" allowOverlap="1" wp14:anchorId="24133D1C" wp14:editId="628D5ECA">
            <wp:simplePos x="0" y="0"/>
            <wp:positionH relativeFrom="page">
              <wp:posOffset>-38100</wp:posOffset>
            </wp:positionH>
            <wp:positionV relativeFrom="paragraph">
              <wp:posOffset>-952500</wp:posOffset>
            </wp:positionV>
            <wp:extent cx="7630003" cy="10807700"/>
            <wp:effectExtent l="0" t="0" r="9525" b="0"/>
            <wp:wrapNone/>
            <wp:docPr id="653166097" name="Picture 1" descr="A red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6097" name="Picture 1" descr="A red background with white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4229" cy="10813686"/>
                    </a:xfrm>
                    <a:prstGeom prst="rect">
                      <a:avLst/>
                    </a:prstGeom>
                  </pic:spPr>
                </pic:pic>
              </a:graphicData>
            </a:graphic>
            <wp14:sizeRelH relativeFrom="page">
              <wp14:pctWidth>0</wp14:pctWidth>
            </wp14:sizeRelH>
            <wp14:sizeRelV relativeFrom="page">
              <wp14:pctHeight>0</wp14:pctHeight>
            </wp14:sizeRelV>
          </wp:anchor>
        </w:drawing>
      </w:r>
    </w:p>
    <w:sectPr w:rsidR="008C0B89" w:rsidSect="004F43B8">
      <w:headerReference w:type="even" r:id="rId17"/>
      <w:headerReference w:type="default" r:id="rId18"/>
      <w:footerReference w:type="even" r:id="rId19"/>
      <w:footerReference w:type="default" r:id="rId20"/>
      <w:headerReference w:type="first" r:id="rId21"/>
      <w:footerReference w:type="first" r:id="rId22"/>
      <w:pgSz w:w="11907" w:h="16840" w:code="9"/>
      <w:pgMar w:top="1440" w:right="1440" w:bottom="1440" w:left="1440"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F5CDD" w14:textId="77777777" w:rsidR="003E6941" w:rsidRDefault="003E6941" w:rsidP="00B979D0">
      <w:pPr>
        <w:spacing w:after="0" w:line="240" w:lineRule="auto"/>
      </w:pPr>
      <w:r>
        <w:separator/>
      </w:r>
    </w:p>
  </w:endnote>
  <w:endnote w:type="continuationSeparator" w:id="0">
    <w:p w14:paraId="2421BD75" w14:textId="77777777" w:rsidR="003E6941" w:rsidRDefault="003E6941" w:rsidP="00B97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C04C" w14:textId="77777777" w:rsidR="00D511C5" w:rsidRPr="000B68DB" w:rsidRDefault="003143DB" w:rsidP="003143DB">
    <w:pPr>
      <w:pStyle w:val="Footer"/>
    </w:pPr>
    <w:r>
      <w:t xml:space="preserve">NATIONAL TREASURY 2024   |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0551" w14:textId="77777777" w:rsidR="00CE188D" w:rsidRPr="00514BCB" w:rsidRDefault="00CE188D" w:rsidP="00514BCB">
    <w:pPr>
      <w:pStyle w:val="Footer"/>
    </w:pPr>
    <w:r w:rsidRPr="00A002CD">
      <w:rPr>
        <w:sz w:val="16"/>
        <w:szCs w:val="16"/>
      </w:rPr>
      <w:t>NATIONAL TREASURY 2025</w:t>
    </w:r>
    <w:r>
      <w:t xml:space="preserve">   |   </w:t>
    </w:r>
    <w:r w:rsidRPr="00A002CD">
      <w:rPr>
        <w:b/>
        <w:bCs/>
      </w:rPr>
      <w:fldChar w:fldCharType="begin"/>
    </w:r>
    <w:r w:rsidRPr="00A002CD">
      <w:rPr>
        <w:b/>
        <w:bCs/>
      </w:rPr>
      <w:instrText xml:space="preserve"> PAGE   \* MERGEFORMAT </w:instrText>
    </w:r>
    <w:r w:rsidRPr="00A002CD">
      <w:rPr>
        <w:b/>
        <w:bCs/>
      </w:rPr>
      <w:fldChar w:fldCharType="separate"/>
    </w:r>
    <w:r>
      <w:rPr>
        <w:b/>
        <w:bCs/>
      </w:rPr>
      <w:t>1</w:t>
    </w:r>
    <w:r w:rsidRPr="00A002CD">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9007" w14:textId="77777777" w:rsidR="00724526" w:rsidRDefault="00D412CD" w:rsidP="004D3815">
    <w:pPr>
      <w:pStyle w:val="Footer"/>
    </w:pPr>
    <w:r w:rsidRPr="00A002CD">
      <w:rPr>
        <w:sz w:val="16"/>
        <w:szCs w:val="16"/>
      </w:rPr>
      <w:t>NATIONAL TREASURY 2024</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rPr>
      <w:t>1</w:t>
    </w:r>
    <w:r w:rsidRPr="00A002CD">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9174" w14:textId="77777777" w:rsidR="00724526" w:rsidRDefault="00D412CD" w:rsidP="00A002CD">
    <w:pPr>
      <w:pStyle w:val="Footer"/>
    </w:pPr>
    <w:r w:rsidRPr="00A002CD">
      <w:rPr>
        <w:sz w:val="16"/>
        <w:szCs w:val="16"/>
      </w:rPr>
      <w:t>NATIONAL TREASURY 202</w:t>
    </w:r>
    <w:r w:rsidR="001C3D71" w:rsidRPr="00A002CD">
      <w:rPr>
        <w:sz w:val="16"/>
        <w:szCs w:val="16"/>
      </w:rPr>
      <w:t>5</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noProof/>
      </w:rPr>
      <w:t>1</w:t>
    </w:r>
    <w:r w:rsidRPr="00A002CD">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18982" w14:textId="77777777" w:rsidR="003E6941" w:rsidRDefault="003E6941" w:rsidP="00B979D0">
      <w:pPr>
        <w:spacing w:after="0" w:line="240" w:lineRule="auto"/>
      </w:pPr>
      <w:r>
        <w:separator/>
      </w:r>
    </w:p>
  </w:footnote>
  <w:footnote w:type="continuationSeparator" w:id="0">
    <w:p w14:paraId="56943FC1" w14:textId="77777777" w:rsidR="003E6941" w:rsidRDefault="003E6941" w:rsidP="00B97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D538" w14:textId="7827A4CC" w:rsidR="001C3D71" w:rsidRPr="008B7FD1" w:rsidRDefault="00B864C1" w:rsidP="001C3D71">
    <w:pPr>
      <w:pBdr>
        <w:bottom w:val="single" w:sz="2" w:space="1" w:color="B4111A" w:themeColor="accent1"/>
      </w:pBdr>
      <w:ind w:right="-19"/>
      <w:jc w:val="right"/>
      <w:rPr>
        <w:sz w:val="16"/>
        <w:szCs w:val="16"/>
      </w:rPr>
    </w:pPr>
    <w:r w:rsidRPr="00B864C1">
      <w:rPr>
        <w:sz w:val="16"/>
        <w:szCs w:val="16"/>
      </w:rPr>
      <w:t>REGULATIONS ON DETERMINING THE VAT LIABILITY IN RESPECT OF CASINO TABLE GAMES OF CHANCE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6F02" w14:textId="77777777" w:rsidR="00641E9C" w:rsidRDefault="00641E9C" w:rsidP="00641E9C">
    <w:pPr>
      <w:pStyle w:val="Header"/>
    </w:pPr>
    <w:r>
      <w:t>P</w:t>
    </w:r>
    <w:r w:rsidR="00CF4290">
      <w:t xml:space="preserve">ublic </w:t>
    </w:r>
    <w:r>
      <w:t>F</w:t>
    </w:r>
    <w:r w:rsidR="00CF4290">
      <w:t>inance</w:t>
    </w:r>
    <w:r>
      <w:t>: s</w:t>
    </w:r>
    <w:r w:rsidR="00CF4290">
      <w:t xml:space="preserve">tandard </w:t>
    </w:r>
    <w:r>
      <w:t>o</w:t>
    </w:r>
    <w:r w:rsidR="00CF4290">
      <w:t xml:space="preserve">perating </w:t>
    </w:r>
    <w:r>
      <w:t>g</w:t>
    </w:r>
    <w:r w:rsidR="00CF4290">
      <w:t>uidelines</w:t>
    </w:r>
    <w:r>
      <w:t xml:space="preserve">    |    </w:t>
    </w:r>
    <w:r w:rsidR="00CF475C">
      <w:t>document name</w:t>
    </w:r>
  </w:p>
  <w:p w14:paraId="7BF96CAD" w14:textId="77777777" w:rsidR="00641E9C" w:rsidRDefault="00641E9C" w:rsidP="00641E9C">
    <w:pPr>
      <w:pStyle w:val="Header"/>
    </w:pPr>
  </w:p>
  <w:p w14:paraId="2ACB1798" w14:textId="77777777" w:rsidR="00D511C5" w:rsidRPr="007D3684" w:rsidRDefault="00D511C5" w:rsidP="00641E9C">
    <w:pPr>
      <w:pStyle w:val="Header"/>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A8D1" w14:textId="77777777" w:rsidR="00140C9F" w:rsidRPr="00A002CD" w:rsidRDefault="00140C9F" w:rsidP="00A002C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A63C" w14:textId="21F9B13E" w:rsidR="00CE188D" w:rsidRPr="008B7FD1" w:rsidRDefault="00B864C1" w:rsidP="001C3D71">
    <w:pPr>
      <w:pBdr>
        <w:bottom w:val="single" w:sz="2" w:space="1" w:color="B4111A" w:themeColor="accent1"/>
      </w:pBdr>
      <w:ind w:right="-19"/>
      <w:jc w:val="right"/>
      <w:rPr>
        <w:sz w:val="16"/>
        <w:szCs w:val="16"/>
      </w:rPr>
    </w:pPr>
    <w:r w:rsidRPr="00B864C1">
      <w:rPr>
        <w:sz w:val="16"/>
        <w:szCs w:val="16"/>
      </w:rPr>
      <w:t>REGULATIONS ON DETERMINING THE VAT LIABILITY IN RESPECT OF CASINO TABLE GAMES OF CHANCE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97ED" w14:textId="23F59111" w:rsidR="00514BCB" w:rsidRPr="008B7FD1" w:rsidRDefault="006266C0" w:rsidP="00514BCB">
    <w:pPr>
      <w:pBdr>
        <w:bottom w:val="single" w:sz="2" w:space="1" w:color="B4111A" w:themeColor="accent1"/>
      </w:pBdr>
      <w:ind w:right="-19"/>
      <w:jc w:val="right"/>
      <w:rPr>
        <w:sz w:val="16"/>
        <w:szCs w:val="16"/>
      </w:rPr>
    </w:pPr>
    <w:r w:rsidRPr="00B864C1">
      <w:rPr>
        <w:sz w:val="16"/>
        <w:szCs w:val="16"/>
      </w:rPr>
      <w:t>REGULATIONS ON DETERMINING THE VAT LIABILITY IN RESPECT OF CASINO TABLE GAMES OF CHANCE</w:t>
    </w:r>
  </w:p>
  <w:p w14:paraId="7C130BC0" w14:textId="77777777" w:rsidR="00D412CD" w:rsidRPr="007D3684" w:rsidRDefault="00D412CD" w:rsidP="00641E9C">
    <w:pPr>
      <w:pStyle w:val="Header"/>
      <w:pBdr>
        <w:bottom w:val="none" w:sz="0" w:space="0" w:color="auto"/>
      </w:pBd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CE5A" w14:textId="1A93FFB5" w:rsidR="001C3D71" w:rsidRPr="008B7FD1" w:rsidRDefault="00B864C1" w:rsidP="001C3D71">
    <w:pPr>
      <w:pBdr>
        <w:bottom w:val="single" w:sz="2" w:space="1" w:color="B4111A" w:themeColor="accent1"/>
      </w:pBdr>
      <w:ind w:right="-19"/>
      <w:jc w:val="right"/>
      <w:rPr>
        <w:sz w:val="16"/>
        <w:szCs w:val="16"/>
      </w:rPr>
    </w:pPr>
    <w:r w:rsidRPr="00B864C1">
      <w:rPr>
        <w:sz w:val="16"/>
        <w:szCs w:val="16"/>
      </w:rPr>
      <w:t>REGULATIONS ON DETERMINING THE VAT LIABILITY IN RESPECT OF CASINO TABLE GAMES OF CHANCE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4A9"/>
    <w:multiLevelType w:val="hybridMultilevel"/>
    <w:tmpl w:val="51BE5084"/>
    <w:lvl w:ilvl="0" w:tplc="4FB44158">
      <w:start w:val="1"/>
      <w:numFmt w:val="upperRoman"/>
      <w:pStyle w:val="H7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0C750A20"/>
    <w:multiLevelType w:val="hybridMultilevel"/>
    <w:tmpl w:val="510463DC"/>
    <w:lvl w:ilvl="0" w:tplc="511C1070">
      <w:start w:val="1"/>
      <w:numFmt w:val="lowerRoman"/>
      <w:pStyle w:val="MRomanBullet"/>
      <w:lvlText w:val="%1."/>
      <w:lvlJc w:val="left"/>
      <w:pPr>
        <w:ind w:left="1571" w:hanging="360"/>
      </w:pPr>
      <w:rPr>
        <w:rFonts w:ascii="Aptos" w:hAnsi="Aptos" w:hint="default"/>
        <w:sz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194A5433"/>
    <w:multiLevelType w:val="hybridMultilevel"/>
    <w:tmpl w:val="E7A41B44"/>
    <w:lvl w:ilvl="0" w:tplc="7054E646">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00D94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E6BB1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14A4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E899C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B0A13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0A83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E046A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F6D44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971631"/>
    <w:multiLevelType w:val="hybridMultilevel"/>
    <w:tmpl w:val="3092996C"/>
    <w:lvl w:ilvl="0" w:tplc="6FDEFED4">
      <w:start w:val="1"/>
      <w:numFmt w:val="bullet"/>
      <w:pStyle w:val="M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05F48"/>
    <w:multiLevelType w:val="hybridMultilevel"/>
    <w:tmpl w:val="9106FFD2"/>
    <w:lvl w:ilvl="0" w:tplc="DDFA51BA">
      <w:start w:val="1"/>
      <w:numFmt w:val="bullet"/>
      <w:pStyle w:val="MBoxLis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1F6494"/>
    <w:multiLevelType w:val="hybridMultilevel"/>
    <w:tmpl w:val="6F2A1154"/>
    <w:lvl w:ilvl="0" w:tplc="2C50468E">
      <w:start w:val="1"/>
      <w:numFmt w:val="bullet"/>
      <w:pStyle w:val="M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C44846"/>
    <w:multiLevelType w:val="hybridMultilevel"/>
    <w:tmpl w:val="B54EE538"/>
    <w:lvl w:ilvl="0" w:tplc="3B081332">
      <w:start w:val="1"/>
      <w:numFmt w:val="bullet"/>
      <w:pStyle w:val="MSublist"/>
      <w:lvlText w:val=""/>
      <w:lvlJc w:val="left"/>
      <w:pPr>
        <w:ind w:left="1004"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7824449A"/>
    <w:multiLevelType w:val="hybridMultilevel"/>
    <w:tmpl w:val="DDC4482E"/>
    <w:lvl w:ilvl="0" w:tplc="5C78DEB4">
      <w:start w:val="1"/>
      <w:numFmt w:val="bullet"/>
      <w:pStyle w:val="MFu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8B1187"/>
    <w:multiLevelType w:val="multilevel"/>
    <w:tmpl w:val="16E6E640"/>
    <w:lvl w:ilvl="0">
      <w:start w:val="1"/>
      <w:numFmt w:val="decimal"/>
      <w:pStyle w:val="MH4"/>
      <w:lvlText w:val="%1."/>
      <w:lvlJc w:val="left"/>
      <w:pPr>
        <w:ind w:left="851" w:hanging="851"/>
      </w:pPr>
      <w:rPr>
        <w:rFonts w:hint="default"/>
        <w:sz w:val="32"/>
        <w:szCs w:val="32"/>
      </w:rPr>
    </w:lvl>
    <w:lvl w:ilvl="1">
      <w:start w:val="1"/>
      <w:numFmt w:val="decimal"/>
      <w:pStyle w:val="MH5"/>
      <w:lvlText w:val="%1.%2"/>
      <w:lvlJc w:val="left"/>
      <w:pPr>
        <w:ind w:left="851" w:hanging="851"/>
      </w:pPr>
      <w:rPr>
        <w:rFonts w:hint="default"/>
        <w:i w:val="0"/>
        <w:iCs/>
        <w:sz w:val="26"/>
        <w:szCs w:val="26"/>
      </w:rPr>
    </w:lvl>
    <w:lvl w:ilvl="2">
      <w:start w:val="1"/>
      <w:numFmt w:val="decimal"/>
      <w:pStyle w:val="MH6"/>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EB36474"/>
    <w:multiLevelType w:val="hybridMultilevel"/>
    <w:tmpl w:val="F11A37B8"/>
    <w:lvl w:ilvl="0" w:tplc="558647D6">
      <w:start w:val="1"/>
      <w:numFmt w:val="bullet"/>
      <w:pStyle w:val="MFullSub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0571134">
    <w:abstractNumId w:val="3"/>
  </w:num>
  <w:num w:numId="2" w16cid:durableId="1736969811">
    <w:abstractNumId w:val="6"/>
  </w:num>
  <w:num w:numId="3" w16cid:durableId="1466855759">
    <w:abstractNumId w:val="5"/>
  </w:num>
  <w:num w:numId="4" w16cid:durableId="114954924">
    <w:abstractNumId w:val="4"/>
  </w:num>
  <w:num w:numId="5" w16cid:durableId="37777391">
    <w:abstractNumId w:val="8"/>
  </w:num>
  <w:num w:numId="6" w16cid:durableId="760564647">
    <w:abstractNumId w:val="0"/>
  </w:num>
  <w:num w:numId="7" w16cid:durableId="2048068448">
    <w:abstractNumId w:val="1"/>
  </w:num>
  <w:num w:numId="8" w16cid:durableId="1203833976">
    <w:abstractNumId w:val="7"/>
  </w:num>
  <w:num w:numId="9" w16cid:durableId="580913472">
    <w:abstractNumId w:val="9"/>
  </w:num>
  <w:num w:numId="10" w16cid:durableId="9615019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4C1"/>
    <w:rsid w:val="00003A2C"/>
    <w:rsid w:val="00016012"/>
    <w:rsid w:val="0002404D"/>
    <w:rsid w:val="0002616A"/>
    <w:rsid w:val="000329FD"/>
    <w:rsid w:val="00035C00"/>
    <w:rsid w:val="00037337"/>
    <w:rsid w:val="0005326B"/>
    <w:rsid w:val="0005437B"/>
    <w:rsid w:val="00061233"/>
    <w:rsid w:val="0006218C"/>
    <w:rsid w:val="000633AE"/>
    <w:rsid w:val="00063408"/>
    <w:rsid w:val="00075940"/>
    <w:rsid w:val="00076DA9"/>
    <w:rsid w:val="00083D33"/>
    <w:rsid w:val="00092DE3"/>
    <w:rsid w:val="000A0CFE"/>
    <w:rsid w:val="000A60A2"/>
    <w:rsid w:val="000A65C3"/>
    <w:rsid w:val="000A71FF"/>
    <w:rsid w:val="000B39B1"/>
    <w:rsid w:val="000B68DB"/>
    <w:rsid w:val="000B78DA"/>
    <w:rsid w:val="000C043C"/>
    <w:rsid w:val="000D77F9"/>
    <w:rsid w:val="000E05E4"/>
    <w:rsid w:val="000E0F18"/>
    <w:rsid w:val="000E1464"/>
    <w:rsid w:val="000E3522"/>
    <w:rsid w:val="000E5EE1"/>
    <w:rsid w:val="000E5FC2"/>
    <w:rsid w:val="00100136"/>
    <w:rsid w:val="001002E7"/>
    <w:rsid w:val="00102942"/>
    <w:rsid w:val="001117E4"/>
    <w:rsid w:val="00111935"/>
    <w:rsid w:val="001128C3"/>
    <w:rsid w:val="0012461A"/>
    <w:rsid w:val="00140C9F"/>
    <w:rsid w:val="0014360F"/>
    <w:rsid w:val="00145250"/>
    <w:rsid w:val="001466F2"/>
    <w:rsid w:val="001471D7"/>
    <w:rsid w:val="00157DA0"/>
    <w:rsid w:val="00163139"/>
    <w:rsid w:val="001733CA"/>
    <w:rsid w:val="00182452"/>
    <w:rsid w:val="00193082"/>
    <w:rsid w:val="00197EEB"/>
    <w:rsid w:val="001B520A"/>
    <w:rsid w:val="001B6773"/>
    <w:rsid w:val="001C365E"/>
    <w:rsid w:val="001C3D71"/>
    <w:rsid w:val="001D34D0"/>
    <w:rsid w:val="001D5DC5"/>
    <w:rsid w:val="001F1FFC"/>
    <w:rsid w:val="001F2F1F"/>
    <w:rsid w:val="0020112F"/>
    <w:rsid w:val="002059B4"/>
    <w:rsid w:val="0022590F"/>
    <w:rsid w:val="00232098"/>
    <w:rsid w:val="00232F85"/>
    <w:rsid w:val="0023574D"/>
    <w:rsid w:val="00242154"/>
    <w:rsid w:val="00242DC1"/>
    <w:rsid w:val="00243296"/>
    <w:rsid w:val="00247E97"/>
    <w:rsid w:val="00251593"/>
    <w:rsid w:val="00251DBB"/>
    <w:rsid w:val="00251F2C"/>
    <w:rsid w:val="00254DF0"/>
    <w:rsid w:val="002576DB"/>
    <w:rsid w:val="00263747"/>
    <w:rsid w:val="00263DBF"/>
    <w:rsid w:val="00267174"/>
    <w:rsid w:val="00286950"/>
    <w:rsid w:val="00293F43"/>
    <w:rsid w:val="00294108"/>
    <w:rsid w:val="00294FFE"/>
    <w:rsid w:val="002957A4"/>
    <w:rsid w:val="002A4319"/>
    <w:rsid w:val="002B494F"/>
    <w:rsid w:val="002B742B"/>
    <w:rsid w:val="002D2CDB"/>
    <w:rsid w:val="002E05E0"/>
    <w:rsid w:val="002F0113"/>
    <w:rsid w:val="002F19E5"/>
    <w:rsid w:val="002F6007"/>
    <w:rsid w:val="003040FB"/>
    <w:rsid w:val="003143DB"/>
    <w:rsid w:val="00323285"/>
    <w:rsid w:val="00325351"/>
    <w:rsid w:val="0033073F"/>
    <w:rsid w:val="0033311E"/>
    <w:rsid w:val="00335515"/>
    <w:rsid w:val="00341029"/>
    <w:rsid w:val="00345A75"/>
    <w:rsid w:val="003627F3"/>
    <w:rsid w:val="003727C7"/>
    <w:rsid w:val="003774EA"/>
    <w:rsid w:val="003B0EDE"/>
    <w:rsid w:val="003B7121"/>
    <w:rsid w:val="003C258B"/>
    <w:rsid w:val="003D3C6A"/>
    <w:rsid w:val="003D5841"/>
    <w:rsid w:val="003E0C47"/>
    <w:rsid w:val="003E6941"/>
    <w:rsid w:val="003F55B2"/>
    <w:rsid w:val="004011F9"/>
    <w:rsid w:val="00401679"/>
    <w:rsid w:val="004021C6"/>
    <w:rsid w:val="00402F70"/>
    <w:rsid w:val="00413F7D"/>
    <w:rsid w:val="00424078"/>
    <w:rsid w:val="00430FB6"/>
    <w:rsid w:val="00431A13"/>
    <w:rsid w:val="0043799D"/>
    <w:rsid w:val="00444F1D"/>
    <w:rsid w:val="004614DE"/>
    <w:rsid w:val="00466EA8"/>
    <w:rsid w:val="0047187A"/>
    <w:rsid w:val="00472174"/>
    <w:rsid w:val="00475080"/>
    <w:rsid w:val="004855E8"/>
    <w:rsid w:val="004908AC"/>
    <w:rsid w:val="004952C1"/>
    <w:rsid w:val="004A3D67"/>
    <w:rsid w:val="004B16B0"/>
    <w:rsid w:val="004B60F3"/>
    <w:rsid w:val="004B75E6"/>
    <w:rsid w:val="004C28E7"/>
    <w:rsid w:val="004C3329"/>
    <w:rsid w:val="004D3815"/>
    <w:rsid w:val="004D600D"/>
    <w:rsid w:val="004E019C"/>
    <w:rsid w:val="004E28D6"/>
    <w:rsid w:val="004E7B13"/>
    <w:rsid w:val="004E7E6E"/>
    <w:rsid w:val="004F30F2"/>
    <w:rsid w:val="004F42F1"/>
    <w:rsid w:val="004F43B8"/>
    <w:rsid w:val="004F4815"/>
    <w:rsid w:val="00500672"/>
    <w:rsid w:val="005027EC"/>
    <w:rsid w:val="00503B04"/>
    <w:rsid w:val="00505685"/>
    <w:rsid w:val="00514BCB"/>
    <w:rsid w:val="00522243"/>
    <w:rsid w:val="005253E2"/>
    <w:rsid w:val="00527FCC"/>
    <w:rsid w:val="00532937"/>
    <w:rsid w:val="00541BF6"/>
    <w:rsid w:val="00555AE8"/>
    <w:rsid w:val="00557433"/>
    <w:rsid w:val="00564B3A"/>
    <w:rsid w:val="005702C3"/>
    <w:rsid w:val="00571030"/>
    <w:rsid w:val="00574479"/>
    <w:rsid w:val="00575159"/>
    <w:rsid w:val="00575D3A"/>
    <w:rsid w:val="0057606F"/>
    <w:rsid w:val="005827F5"/>
    <w:rsid w:val="005905B0"/>
    <w:rsid w:val="0059083A"/>
    <w:rsid w:val="005A2E69"/>
    <w:rsid w:val="005B19D7"/>
    <w:rsid w:val="005B47DD"/>
    <w:rsid w:val="005C1D3E"/>
    <w:rsid w:val="005C3532"/>
    <w:rsid w:val="005C5D45"/>
    <w:rsid w:val="005D2E25"/>
    <w:rsid w:val="005D4E77"/>
    <w:rsid w:val="005E2545"/>
    <w:rsid w:val="005E405E"/>
    <w:rsid w:val="005F06F7"/>
    <w:rsid w:val="005F15EA"/>
    <w:rsid w:val="005F1B91"/>
    <w:rsid w:val="00600356"/>
    <w:rsid w:val="00605BD6"/>
    <w:rsid w:val="00614E2E"/>
    <w:rsid w:val="00620A4D"/>
    <w:rsid w:val="006261DF"/>
    <w:rsid w:val="006266C0"/>
    <w:rsid w:val="006305A0"/>
    <w:rsid w:val="00635EEA"/>
    <w:rsid w:val="0064180B"/>
    <w:rsid w:val="00641E9C"/>
    <w:rsid w:val="00647F99"/>
    <w:rsid w:val="006501CD"/>
    <w:rsid w:val="00653D55"/>
    <w:rsid w:val="006554BF"/>
    <w:rsid w:val="00655FE2"/>
    <w:rsid w:val="0066126D"/>
    <w:rsid w:val="00661A63"/>
    <w:rsid w:val="006703D1"/>
    <w:rsid w:val="006705F5"/>
    <w:rsid w:val="00680868"/>
    <w:rsid w:val="006905CC"/>
    <w:rsid w:val="00691EC3"/>
    <w:rsid w:val="006977D3"/>
    <w:rsid w:val="00697BAE"/>
    <w:rsid w:val="006A18F7"/>
    <w:rsid w:val="006B6F74"/>
    <w:rsid w:val="006C4E6F"/>
    <w:rsid w:val="006C5336"/>
    <w:rsid w:val="006C752A"/>
    <w:rsid w:val="006D195E"/>
    <w:rsid w:val="006E09E9"/>
    <w:rsid w:val="006E47F1"/>
    <w:rsid w:val="006F0BF3"/>
    <w:rsid w:val="006F2BF3"/>
    <w:rsid w:val="006F53F2"/>
    <w:rsid w:val="007023E2"/>
    <w:rsid w:val="00702C48"/>
    <w:rsid w:val="00724526"/>
    <w:rsid w:val="00724DB1"/>
    <w:rsid w:val="00737CBA"/>
    <w:rsid w:val="00744211"/>
    <w:rsid w:val="00747390"/>
    <w:rsid w:val="007570CE"/>
    <w:rsid w:val="00767000"/>
    <w:rsid w:val="00767353"/>
    <w:rsid w:val="00767656"/>
    <w:rsid w:val="00767DF9"/>
    <w:rsid w:val="00772655"/>
    <w:rsid w:val="00772F04"/>
    <w:rsid w:val="00781946"/>
    <w:rsid w:val="00783878"/>
    <w:rsid w:val="00793B3B"/>
    <w:rsid w:val="007A07BD"/>
    <w:rsid w:val="007A093E"/>
    <w:rsid w:val="007C28C2"/>
    <w:rsid w:val="007C6557"/>
    <w:rsid w:val="007C6E93"/>
    <w:rsid w:val="007D08E8"/>
    <w:rsid w:val="007D127A"/>
    <w:rsid w:val="007D3684"/>
    <w:rsid w:val="007D5C68"/>
    <w:rsid w:val="007E0FF0"/>
    <w:rsid w:val="007E55C0"/>
    <w:rsid w:val="007E6063"/>
    <w:rsid w:val="00801A6C"/>
    <w:rsid w:val="00803E7C"/>
    <w:rsid w:val="0081078A"/>
    <w:rsid w:val="00821612"/>
    <w:rsid w:val="00824FA4"/>
    <w:rsid w:val="00825F43"/>
    <w:rsid w:val="0083453A"/>
    <w:rsid w:val="00834D55"/>
    <w:rsid w:val="0084169B"/>
    <w:rsid w:val="00847072"/>
    <w:rsid w:val="00853C4E"/>
    <w:rsid w:val="00861289"/>
    <w:rsid w:val="00863066"/>
    <w:rsid w:val="008667D0"/>
    <w:rsid w:val="00880DD3"/>
    <w:rsid w:val="00885345"/>
    <w:rsid w:val="00887857"/>
    <w:rsid w:val="00891D19"/>
    <w:rsid w:val="00892DC7"/>
    <w:rsid w:val="008B2375"/>
    <w:rsid w:val="008B30F1"/>
    <w:rsid w:val="008B5CAB"/>
    <w:rsid w:val="008B7FD1"/>
    <w:rsid w:val="008C0B89"/>
    <w:rsid w:val="008C157B"/>
    <w:rsid w:val="008C507D"/>
    <w:rsid w:val="008D1525"/>
    <w:rsid w:val="008D3136"/>
    <w:rsid w:val="008E7513"/>
    <w:rsid w:val="008F063C"/>
    <w:rsid w:val="008F30D8"/>
    <w:rsid w:val="00916E90"/>
    <w:rsid w:val="0092083F"/>
    <w:rsid w:val="00923115"/>
    <w:rsid w:val="0095112B"/>
    <w:rsid w:val="00952651"/>
    <w:rsid w:val="00957FE0"/>
    <w:rsid w:val="00965178"/>
    <w:rsid w:val="00967922"/>
    <w:rsid w:val="0097636C"/>
    <w:rsid w:val="00990DA4"/>
    <w:rsid w:val="00991A77"/>
    <w:rsid w:val="00992EFD"/>
    <w:rsid w:val="009B21A9"/>
    <w:rsid w:val="009C3CA4"/>
    <w:rsid w:val="009C51EF"/>
    <w:rsid w:val="009C64D8"/>
    <w:rsid w:val="009D4F9B"/>
    <w:rsid w:val="009D6A73"/>
    <w:rsid w:val="009D7E31"/>
    <w:rsid w:val="009E360C"/>
    <w:rsid w:val="009E6608"/>
    <w:rsid w:val="009F0A92"/>
    <w:rsid w:val="009F28C6"/>
    <w:rsid w:val="009F6ECB"/>
    <w:rsid w:val="00A002CD"/>
    <w:rsid w:val="00A00B4F"/>
    <w:rsid w:val="00A01E63"/>
    <w:rsid w:val="00A052EE"/>
    <w:rsid w:val="00A06311"/>
    <w:rsid w:val="00A12462"/>
    <w:rsid w:val="00A16ECC"/>
    <w:rsid w:val="00A27520"/>
    <w:rsid w:val="00A32326"/>
    <w:rsid w:val="00A3610A"/>
    <w:rsid w:val="00A363B6"/>
    <w:rsid w:val="00A40800"/>
    <w:rsid w:val="00A41837"/>
    <w:rsid w:val="00A443C6"/>
    <w:rsid w:val="00A460E2"/>
    <w:rsid w:val="00A53465"/>
    <w:rsid w:val="00A70F44"/>
    <w:rsid w:val="00A73FDB"/>
    <w:rsid w:val="00A74A08"/>
    <w:rsid w:val="00A840FC"/>
    <w:rsid w:val="00A86473"/>
    <w:rsid w:val="00A909ED"/>
    <w:rsid w:val="00A9332F"/>
    <w:rsid w:val="00A977D7"/>
    <w:rsid w:val="00AA056D"/>
    <w:rsid w:val="00AA3079"/>
    <w:rsid w:val="00AA7CE7"/>
    <w:rsid w:val="00AB51C2"/>
    <w:rsid w:val="00AC2C89"/>
    <w:rsid w:val="00AC3080"/>
    <w:rsid w:val="00AD1176"/>
    <w:rsid w:val="00AF53C9"/>
    <w:rsid w:val="00B00F5A"/>
    <w:rsid w:val="00B04447"/>
    <w:rsid w:val="00B160F7"/>
    <w:rsid w:val="00B17DF9"/>
    <w:rsid w:val="00B30192"/>
    <w:rsid w:val="00B30E35"/>
    <w:rsid w:val="00B4242A"/>
    <w:rsid w:val="00B459A2"/>
    <w:rsid w:val="00B51308"/>
    <w:rsid w:val="00B5642E"/>
    <w:rsid w:val="00B60C42"/>
    <w:rsid w:val="00B71090"/>
    <w:rsid w:val="00B745A9"/>
    <w:rsid w:val="00B75818"/>
    <w:rsid w:val="00B864C1"/>
    <w:rsid w:val="00B91D0A"/>
    <w:rsid w:val="00B979D0"/>
    <w:rsid w:val="00BA359B"/>
    <w:rsid w:val="00BA4AFC"/>
    <w:rsid w:val="00BA7668"/>
    <w:rsid w:val="00BC4EB2"/>
    <w:rsid w:val="00BC4EF2"/>
    <w:rsid w:val="00BC6485"/>
    <w:rsid w:val="00BD4D7F"/>
    <w:rsid w:val="00BE3D54"/>
    <w:rsid w:val="00BF12A0"/>
    <w:rsid w:val="00BF7FAC"/>
    <w:rsid w:val="00C176AE"/>
    <w:rsid w:val="00C17D1A"/>
    <w:rsid w:val="00C305C6"/>
    <w:rsid w:val="00C4749E"/>
    <w:rsid w:val="00C55092"/>
    <w:rsid w:val="00C64F2A"/>
    <w:rsid w:val="00C66F9D"/>
    <w:rsid w:val="00C8364A"/>
    <w:rsid w:val="00C83945"/>
    <w:rsid w:val="00C906AA"/>
    <w:rsid w:val="00C97656"/>
    <w:rsid w:val="00CA4289"/>
    <w:rsid w:val="00CA4A27"/>
    <w:rsid w:val="00CB1D96"/>
    <w:rsid w:val="00CB2B19"/>
    <w:rsid w:val="00CC0221"/>
    <w:rsid w:val="00CC1021"/>
    <w:rsid w:val="00CC1B8A"/>
    <w:rsid w:val="00CC42EA"/>
    <w:rsid w:val="00CC4841"/>
    <w:rsid w:val="00CE188D"/>
    <w:rsid w:val="00CE3AE9"/>
    <w:rsid w:val="00CF4290"/>
    <w:rsid w:val="00CF4743"/>
    <w:rsid w:val="00CF475C"/>
    <w:rsid w:val="00CF5574"/>
    <w:rsid w:val="00CF786F"/>
    <w:rsid w:val="00D026BC"/>
    <w:rsid w:val="00D03959"/>
    <w:rsid w:val="00D132AD"/>
    <w:rsid w:val="00D157AF"/>
    <w:rsid w:val="00D27372"/>
    <w:rsid w:val="00D33DF2"/>
    <w:rsid w:val="00D412CD"/>
    <w:rsid w:val="00D42B31"/>
    <w:rsid w:val="00D511C5"/>
    <w:rsid w:val="00D52957"/>
    <w:rsid w:val="00D621A5"/>
    <w:rsid w:val="00D64401"/>
    <w:rsid w:val="00D660EE"/>
    <w:rsid w:val="00D6722D"/>
    <w:rsid w:val="00D70FD4"/>
    <w:rsid w:val="00D7376E"/>
    <w:rsid w:val="00D746B2"/>
    <w:rsid w:val="00D77E32"/>
    <w:rsid w:val="00D973C3"/>
    <w:rsid w:val="00DA577C"/>
    <w:rsid w:val="00DB2E66"/>
    <w:rsid w:val="00DC6F76"/>
    <w:rsid w:val="00DD017B"/>
    <w:rsid w:val="00DD0382"/>
    <w:rsid w:val="00DD2B35"/>
    <w:rsid w:val="00DF265D"/>
    <w:rsid w:val="00DF3AC8"/>
    <w:rsid w:val="00DF4E78"/>
    <w:rsid w:val="00E00C77"/>
    <w:rsid w:val="00E05EC4"/>
    <w:rsid w:val="00E05FAB"/>
    <w:rsid w:val="00E07325"/>
    <w:rsid w:val="00E21839"/>
    <w:rsid w:val="00E30158"/>
    <w:rsid w:val="00E628AF"/>
    <w:rsid w:val="00E62EAF"/>
    <w:rsid w:val="00E70A8F"/>
    <w:rsid w:val="00E71638"/>
    <w:rsid w:val="00E85879"/>
    <w:rsid w:val="00E92BAC"/>
    <w:rsid w:val="00EA5489"/>
    <w:rsid w:val="00EB16AD"/>
    <w:rsid w:val="00EB46A6"/>
    <w:rsid w:val="00EC03DA"/>
    <w:rsid w:val="00EC1B96"/>
    <w:rsid w:val="00EC4B74"/>
    <w:rsid w:val="00EE30A9"/>
    <w:rsid w:val="00F04765"/>
    <w:rsid w:val="00F07141"/>
    <w:rsid w:val="00F150AC"/>
    <w:rsid w:val="00F245EE"/>
    <w:rsid w:val="00F35AF0"/>
    <w:rsid w:val="00F419AE"/>
    <w:rsid w:val="00F50356"/>
    <w:rsid w:val="00F5489E"/>
    <w:rsid w:val="00F55A62"/>
    <w:rsid w:val="00F55E7B"/>
    <w:rsid w:val="00F703DA"/>
    <w:rsid w:val="00F7420E"/>
    <w:rsid w:val="00F84415"/>
    <w:rsid w:val="00F90366"/>
    <w:rsid w:val="00F903B1"/>
    <w:rsid w:val="00F92CBD"/>
    <w:rsid w:val="00FA5186"/>
    <w:rsid w:val="00FA6420"/>
    <w:rsid w:val="00FC226A"/>
    <w:rsid w:val="00FC5C2D"/>
    <w:rsid w:val="00FC6306"/>
    <w:rsid w:val="00FC653D"/>
    <w:rsid w:val="00FD4D21"/>
    <w:rsid w:val="00FF4EE2"/>
    <w:rsid w:val="00FF62BE"/>
    <w:rsid w:val="00FF71F4"/>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EDC64"/>
  <w15:chartTrackingRefBased/>
  <w15:docId w15:val="{7B5A8567-C292-4C6D-BE6D-FA9D88423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CB"/>
    <w:pPr>
      <w:spacing w:line="256" w:lineRule="auto"/>
    </w:pPr>
  </w:style>
  <w:style w:type="paragraph" w:styleId="Heading1">
    <w:name w:val="heading 1"/>
    <w:basedOn w:val="Normal"/>
    <w:next w:val="Normal"/>
    <w:link w:val="Heading1Char"/>
    <w:uiPriority w:val="9"/>
    <w:qFormat/>
    <w:rsid w:val="00B17DF9"/>
    <w:pPr>
      <w:keepNext/>
      <w:keepLines/>
      <w:spacing w:before="240" w:after="0"/>
      <w:outlineLvl w:val="0"/>
    </w:pPr>
    <w:rPr>
      <w:rFonts w:asciiTheme="majorHAnsi" w:eastAsiaTheme="majorEastAsia" w:hAnsiTheme="majorHAnsi" w:cstheme="majorBidi"/>
      <w:color w:val="860C13" w:themeColor="accent1" w:themeShade="BF"/>
      <w:sz w:val="32"/>
      <w:szCs w:val="32"/>
    </w:rPr>
  </w:style>
  <w:style w:type="paragraph" w:styleId="Heading2">
    <w:name w:val="heading 2"/>
    <w:basedOn w:val="Normal"/>
    <w:next w:val="Normal"/>
    <w:link w:val="Heading2Char"/>
    <w:uiPriority w:val="9"/>
    <w:unhideWhenUsed/>
    <w:qFormat/>
    <w:rsid w:val="00B17DF9"/>
    <w:pPr>
      <w:keepNext/>
      <w:keepLines/>
      <w:spacing w:before="40" w:after="0"/>
      <w:outlineLvl w:val="1"/>
    </w:pPr>
    <w:rPr>
      <w:rFonts w:asciiTheme="majorHAnsi" w:eastAsiaTheme="majorEastAsia" w:hAnsiTheme="majorHAnsi" w:cstheme="majorBidi"/>
      <w:color w:val="860C13" w:themeColor="accent1" w:themeShade="BF"/>
      <w:sz w:val="26"/>
      <w:szCs w:val="26"/>
    </w:rPr>
  </w:style>
  <w:style w:type="paragraph" w:styleId="Heading3">
    <w:name w:val="heading 3"/>
    <w:basedOn w:val="Normal"/>
    <w:next w:val="Normal"/>
    <w:link w:val="Heading3Char"/>
    <w:uiPriority w:val="9"/>
    <w:unhideWhenUsed/>
    <w:qFormat/>
    <w:rsid w:val="00B17DF9"/>
    <w:pPr>
      <w:keepNext/>
      <w:keepLines/>
      <w:spacing w:before="40" w:after="0"/>
      <w:outlineLvl w:val="2"/>
    </w:pPr>
    <w:rPr>
      <w:rFonts w:asciiTheme="majorHAnsi" w:eastAsiaTheme="majorEastAsia" w:hAnsiTheme="majorHAnsi" w:cstheme="majorBidi"/>
      <w:color w:val="59080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numbering" w:customStyle="1" w:styleId="ListNob">
    <w:name w:val="List No"/>
    <w:uiPriority w:val="99"/>
    <w:semiHidden/>
    <w:unhideWhenUsed/>
  </w:style>
  <w:style w:type="numbering" w:customStyle="1" w:styleId="ListNoc">
    <w:name w:val="List No"/>
    <w:uiPriority w:val="99"/>
    <w:semiHidden/>
    <w:unhideWhenUsed/>
  </w:style>
  <w:style w:type="numbering" w:customStyle="1" w:styleId="ListNod">
    <w:name w:val="List No"/>
    <w:uiPriority w:val="99"/>
    <w:semiHidden/>
    <w:unhideWhenUsed/>
  </w:style>
  <w:style w:type="numbering" w:customStyle="1" w:styleId="ListNoe">
    <w:name w:val="List No"/>
    <w:uiPriority w:val="99"/>
    <w:semiHidden/>
    <w:unhideWhenUsed/>
  </w:style>
  <w:style w:type="numbering" w:customStyle="1" w:styleId="ListNof">
    <w:name w:val="List No"/>
    <w:uiPriority w:val="99"/>
    <w:semiHidden/>
    <w:unhideWhenUsed/>
  </w:style>
  <w:style w:type="numbering" w:customStyle="1" w:styleId="ListNof0">
    <w:name w:val="List No"/>
    <w:uiPriority w:val="99"/>
    <w:semiHidden/>
    <w:unhideWhenUsed/>
  </w:style>
  <w:style w:type="numbering" w:customStyle="1" w:styleId="ListNof1">
    <w:name w:val="List No"/>
    <w:uiPriority w:val="99"/>
    <w:semiHidden/>
    <w:unhideWhenUsed/>
  </w:style>
  <w:style w:type="numbering" w:customStyle="1" w:styleId="ListNof2">
    <w:name w:val="List No"/>
    <w:uiPriority w:val="99"/>
    <w:semiHidden/>
    <w:unhideWhenUsed/>
  </w:style>
  <w:style w:type="numbering" w:customStyle="1" w:styleId="ListNof3">
    <w:name w:val="List No"/>
    <w:uiPriority w:val="99"/>
    <w:semiHidden/>
    <w:unhideWhenUsed/>
  </w:style>
  <w:style w:type="numbering" w:customStyle="1" w:styleId="ListNof4">
    <w:name w:val="List No"/>
    <w:uiPriority w:val="99"/>
    <w:semiHidden/>
    <w:unhideWhenUsed/>
  </w:style>
  <w:style w:type="numbering" w:customStyle="1" w:styleId="ListNof5">
    <w:name w:val="List No"/>
    <w:uiPriority w:val="99"/>
    <w:semiHidden/>
    <w:unhideWhenUsed/>
  </w:style>
  <w:style w:type="numbering" w:customStyle="1" w:styleId="ListNof6">
    <w:name w:val="List No"/>
    <w:uiPriority w:val="99"/>
    <w:semiHidden/>
    <w:unhideWhenUsed/>
  </w:style>
  <w:style w:type="numbering" w:customStyle="1" w:styleId="ListNof7">
    <w:name w:val="List No"/>
    <w:uiPriority w:val="99"/>
    <w:semiHidden/>
    <w:unhideWhenUsed/>
  </w:style>
  <w:style w:type="numbering" w:customStyle="1" w:styleId="ListNof8">
    <w:name w:val="List No"/>
    <w:uiPriority w:val="99"/>
    <w:semiHidden/>
    <w:unhideWhenUsed/>
  </w:style>
  <w:style w:type="paragraph" w:customStyle="1" w:styleId="MH1">
    <w:name w:val="MH1"/>
    <w:basedOn w:val="Normal"/>
    <w:qFormat/>
    <w:rsid w:val="00A002CD"/>
    <w:pPr>
      <w:widowControl w:val="0"/>
      <w:spacing w:before="360" w:after="240" w:line="240" w:lineRule="auto"/>
      <w:outlineLvl w:val="0"/>
    </w:pPr>
    <w:rPr>
      <w:rFonts w:ascii="Calibri" w:eastAsia="Calibri" w:hAnsi="Calibri" w:cs="Arial"/>
      <w:b/>
      <w:caps/>
      <w:kern w:val="0"/>
      <w:sz w:val="36"/>
      <w:szCs w:val="44"/>
      <w:lang w:val="en-ZA"/>
      <w14:ligatures w14:val="none"/>
    </w:rPr>
  </w:style>
  <w:style w:type="paragraph" w:customStyle="1" w:styleId="H2">
    <w:name w:val="H2"/>
    <w:basedOn w:val="Normal"/>
    <w:qFormat/>
    <w:rsid w:val="00DC6F76"/>
    <w:pPr>
      <w:keepNext/>
      <w:keepLines/>
      <w:widowControl w:val="0"/>
      <w:spacing w:before="240" w:after="200" w:line="276" w:lineRule="auto"/>
      <w:ind w:left="794" w:hanging="85"/>
      <w:jc w:val="both"/>
    </w:pPr>
    <w:rPr>
      <w:rFonts w:ascii="Calibri" w:eastAsia="Calibri" w:hAnsi="Calibri" w:cs="Arial"/>
      <w:b/>
      <w:i/>
      <w:kern w:val="0"/>
      <w:sz w:val="28"/>
      <w:lang w:val="en-ZA"/>
      <w14:ligatures w14:val="none"/>
    </w:rPr>
  </w:style>
  <w:style w:type="paragraph" w:customStyle="1" w:styleId="h20">
    <w:name w:val="h2"/>
    <w:basedOn w:val="ListParagraph"/>
    <w:qFormat/>
    <w:rsid w:val="00A06311"/>
    <w:pPr>
      <w:keepNext/>
      <w:keepLines/>
      <w:widowControl w:val="0"/>
      <w:spacing w:before="360" w:after="120" w:line="480" w:lineRule="auto"/>
      <w:ind w:left="360"/>
      <w:contextualSpacing w:val="0"/>
      <w:jc w:val="both"/>
      <w:outlineLvl w:val="0"/>
    </w:pPr>
    <w:rPr>
      <w:rFonts w:ascii="Calibri" w:eastAsia="Calibri" w:hAnsi="Calibri" w:cs="Arial"/>
      <w:b/>
      <w:kern w:val="0"/>
      <w:sz w:val="28"/>
      <w:lang w:val="en-ZA"/>
      <w14:ligatures w14:val="none"/>
    </w:rPr>
  </w:style>
  <w:style w:type="paragraph" w:styleId="ListParagraph">
    <w:name w:val="List Paragraph"/>
    <w:aliases w:val="Riana Table Bullets 1,Indent Paragraph,List Paragraph 1,Standard Paragraph,3.1,Grey Bullet List,Grey Bullet Style,Dot pt,F5 List Paragraph,List Paragraph1,List Paragraph Char Char Char,Indicator Text,Numbered Para 1,Bullet 1,Bullet Points"/>
    <w:basedOn w:val="Normal"/>
    <w:link w:val="ListParagraphChar"/>
    <w:uiPriority w:val="34"/>
    <w:qFormat/>
    <w:rsid w:val="00DC6F76"/>
    <w:pPr>
      <w:ind w:left="720"/>
      <w:contextualSpacing/>
    </w:pPr>
  </w:style>
  <w:style w:type="paragraph" w:customStyle="1" w:styleId="MChapterName">
    <w:name w:val="MChapterName"/>
    <w:basedOn w:val="Normal"/>
    <w:qFormat/>
    <w:rsid w:val="0081078A"/>
    <w:pPr>
      <w:spacing w:after="360" w:line="540" w:lineRule="exact"/>
    </w:pPr>
    <w:rPr>
      <w:rFonts w:asciiTheme="majorHAnsi" w:hAnsiTheme="majorHAnsi"/>
      <w:b/>
      <w:caps/>
      <w:color w:val="B4111A" w:themeColor="accent1"/>
      <w:sz w:val="56"/>
      <w:szCs w:val="52"/>
    </w:rPr>
  </w:style>
  <w:style w:type="paragraph" w:customStyle="1" w:styleId="H221">
    <w:name w:val="H221"/>
    <w:basedOn w:val="h20"/>
    <w:qFormat/>
    <w:rsid w:val="00DC6F76"/>
    <w:pPr>
      <w:keepNext w:val="0"/>
      <w:keepLines w:val="0"/>
      <w:numPr>
        <w:ilvl w:val="2"/>
      </w:numPr>
      <w:spacing w:before="120" w:line="288" w:lineRule="auto"/>
      <w:ind w:left="360"/>
    </w:pPr>
    <w:rPr>
      <w:b w:val="0"/>
      <w:sz w:val="22"/>
    </w:rPr>
  </w:style>
  <w:style w:type="paragraph" w:customStyle="1" w:styleId="H3">
    <w:name w:val="H3"/>
    <w:basedOn w:val="H2"/>
    <w:qFormat/>
    <w:rsid w:val="00DC6F76"/>
    <w:rPr>
      <w:sz w:val="26"/>
    </w:rPr>
  </w:style>
  <w:style w:type="paragraph" w:customStyle="1" w:styleId="H4">
    <w:name w:val="H4"/>
    <w:basedOn w:val="H3"/>
    <w:qFormat/>
    <w:rsid w:val="00DC6F76"/>
    <w:pPr>
      <w:keepLines w:val="0"/>
      <w:ind w:left="0" w:firstLine="0"/>
    </w:pPr>
    <w:rPr>
      <w:b w:val="0"/>
    </w:rPr>
  </w:style>
  <w:style w:type="paragraph" w:customStyle="1" w:styleId="H51">
    <w:name w:val="H51"/>
    <w:basedOn w:val="ListParagraph"/>
    <w:qFormat/>
    <w:rsid w:val="00DC6F76"/>
    <w:pPr>
      <w:widowControl w:val="0"/>
      <w:spacing w:before="240" w:after="200" w:line="276" w:lineRule="auto"/>
      <w:ind w:left="0"/>
      <w:contextualSpacing w:val="0"/>
      <w:jc w:val="both"/>
    </w:pPr>
    <w:rPr>
      <w:rFonts w:ascii="Calibri" w:hAnsi="Calibri" w:cs="Arial"/>
      <w:b/>
      <w:kern w:val="0"/>
      <w:sz w:val="28"/>
      <w:lang w:val="en-ZA"/>
      <w14:ligatures w14:val="none"/>
    </w:rPr>
  </w:style>
  <w:style w:type="paragraph" w:customStyle="1" w:styleId="MChapterNumber">
    <w:name w:val="MChapterNumber"/>
    <w:basedOn w:val="MChapterName"/>
    <w:qFormat/>
    <w:rsid w:val="004908AC"/>
    <w:pPr>
      <w:jc w:val="right"/>
    </w:pPr>
    <w:rPr>
      <w:color w:val="939598" w:themeColor="text2"/>
    </w:rPr>
  </w:style>
  <w:style w:type="paragraph" w:customStyle="1" w:styleId="MH2">
    <w:name w:val="MH2"/>
    <w:basedOn w:val="MH1"/>
    <w:qFormat/>
    <w:rsid w:val="00702C48"/>
    <w:pPr>
      <w:spacing w:after="480"/>
    </w:pPr>
    <w:rPr>
      <w:rFonts w:asciiTheme="minorHAnsi" w:hAnsiTheme="minorHAnsi"/>
      <w:sz w:val="40"/>
      <w:szCs w:val="36"/>
    </w:rPr>
  </w:style>
  <w:style w:type="paragraph" w:customStyle="1" w:styleId="MH3">
    <w:name w:val="MH3"/>
    <w:basedOn w:val="MH2"/>
    <w:qFormat/>
    <w:rsid w:val="00B04447"/>
    <w:pPr>
      <w:tabs>
        <w:tab w:val="left" w:pos="567"/>
      </w:tabs>
      <w:spacing w:after="120"/>
    </w:pPr>
    <w:rPr>
      <w:color w:val="000000" w:themeColor="text1"/>
      <w:sz w:val="32"/>
      <w:szCs w:val="28"/>
    </w:rPr>
  </w:style>
  <w:style w:type="paragraph" w:customStyle="1" w:styleId="MH4">
    <w:name w:val="MH4"/>
    <w:basedOn w:val="MH3"/>
    <w:qFormat/>
    <w:rsid w:val="00A002CD"/>
    <w:pPr>
      <w:numPr>
        <w:numId w:val="5"/>
      </w:numPr>
      <w:tabs>
        <w:tab w:val="clear" w:pos="567"/>
      </w:tabs>
      <w:spacing w:before="240"/>
    </w:pPr>
    <w:rPr>
      <w:szCs w:val="24"/>
    </w:rPr>
  </w:style>
  <w:style w:type="paragraph" w:customStyle="1" w:styleId="MH5">
    <w:name w:val="MH5"/>
    <w:basedOn w:val="MH4"/>
    <w:qFormat/>
    <w:rsid w:val="00F150AC"/>
    <w:pPr>
      <w:numPr>
        <w:ilvl w:val="1"/>
      </w:numPr>
    </w:pPr>
    <w:rPr>
      <w:bCs/>
      <w:sz w:val="26"/>
    </w:rPr>
  </w:style>
  <w:style w:type="paragraph" w:customStyle="1" w:styleId="MTableHead">
    <w:name w:val="MTableHead"/>
    <w:basedOn w:val="Normal"/>
    <w:qFormat/>
    <w:rsid w:val="001B6773"/>
    <w:pPr>
      <w:keepNext/>
      <w:spacing w:before="360" w:after="240" w:line="240" w:lineRule="auto"/>
    </w:pPr>
    <w:rPr>
      <w:rFonts w:ascii="Calibri" w:hAnsi="Calibri"/>
      <w:b/>
      <w:sz w:val="18"/>
    </w:rPr>
  </w:style>
  <w:style w:type="paragraph" w:customStyle="1" w:styleId="MGraphHead">
    <w:name w:val="MGraphHead"/>
    <w:basedOn w:val="MTableHead"/>
    <w:qFormat/>
    <w:rsid w:val="00DD2B35"/>
    <w:rPr>
      <w:color w:val="000000" w:themeColor="text1"/>
    </w:rPr>
  </w:style>
  <w:style w:type="paragraph" w:customStyle="1" w:styleId="MTable">
    <w:name w:val="MTable"/>
    <w:aliases w:val="text"/>
    <w:basedOn w:val="Normal"/>
    <w:qFormat/>
    <w:rsid w:val="00CC4841"/>
    <w:pPr>
      <w:spacing w:after="0" w:line="240" w:lineRule="auto"/>
    </w:pPr>
    <w:rPr>
      <w:sz w:val="20"/>
      <w:szCs w:val="20"/>
    </w:rPr>
  </w:style>
  <w:style w:type="paragraph" w:styleId="Header">
    <w:name w:val="header"/>
    <w:aliases w:val="Message"/>
    <w:basedOn w:val="Normal"/>
    <w:link w:val="HeaderChar"/>
    <w:uiPriority w:val="99"/>
    <w:unhideWhenUsed/>
    <w:rsid w:val="00B30E35"/>
    <w:pPr>
      <w:pBdr>
        <w:bottom w:val="single" w:sz="4" w:space="1" w:color="B4111A" w:themeColor="accent1"/>
      </w:pBdr>
      <w:tabs>
        <w:tab w:val="center" w:pos="4680"/>
        <w:tab w:val="right" w:pos="9360"/>
      </w:tabs>
      <w:spacing w:after="0" w:line="240" w:lineRule="auto"/>
      <w:jc w:val="right"/>
    </w:pPr>
    <w:rPr>
      <w:rFonts w:ascii="Calibri" w:hAnsi="Calibri"/>
      <w:caps/>
      <w:sz w:val="18"/>
      <w:szCs w:val="18"/>
    </w:rPr>
  </w:style>
  <w:style w:type="character" w:customStyle="1" w:styleId="HeaderChar">
    <w:name w:val="Header Char"/>
    <w:aliases w:val="Message Char"/>
    <w:basedOn w:val="DefaultParagraphFont"/>
    <w:link w:val="Header"/>
    <w:uiPriority w:val="99"/>
    <w:rsid w:val="00B30E35"/>
    <w:rPr>
      <w:rFonts w:ascii="Calibri" w:hAnsi="Calibri"/>
      <w:caps/>
      <w:sz w:val="18"/>
      <w:szCs w:val="18"/>
    </w:rPr>
  </w:style>
  <w:style w:type="paragraph" w:styleId="Footer">
    <w:name w:val="footer"/>
    <w:basedOn w:val="Normal"/>
    <w:link w:val="FooterChar"/>
    <w:uiPriority w:val="99"/>
    <w:unhideWhenUsed/>
    <w:rsid w:val="00D6722D"/>
    <w:pPr>
      <w:tabs>
        <w:tab w:val="center" w:pos="4680"/>
        <w:tab w:val="right" w:pos="9360"/>
      </w:tabs>
      <w:spacing w:after="0" w:line="240" w:lineRule="auto"/>
      <w:jc w:val="right"/>
    </w:pPr>
    <w:rPr>
      <w:sz w:val="20"/>
      <w:szCs w:val="20"/>
    </w:rPr>
  </w:style>
  <w:style w:type="character" w:customStyle="1" w:styleId="FooterChar">
    <w:name w:val="Footer Char"/>
    <w:basedOn w:val="DefaultParagraphFont"/>
    <w:link w:val="Footer"/>
    <w:uiPriority w:val="99"/>
    <w:rsid w:val="00D6722D"/>
    <w:rPr>
      <w:sz w:val="20"/>
      <w:szCs w:val="20"/>
    </w:rPr>
  </w:style>
  <w:style w:type="paragraph" w:customStyle="1" w:styleId="MPageFootnote">
    <w:name w:val="MPageFootnote"/>
    <w:basedOn w:val="Normal"/>
    <w:qFormat/>
    <w:rsid w:val="00600356"/>
    <w:pPr>
      <w:spacing w:after="0" w:line="264" w:lineRule="auto"/>
      <w:ind w:left="284" w:hanging="284"/>
    </w:pPr>
    <w:rPr>
      <w:i/>
      <w:sz w:val="18"/>
      <w:szCs w:val="20"/>
    </w:rPr>
  </w:style>
  <w:style w:type="paragraph" w:customStyle="1" w:styleId="MTableFootnote">
    <w:name w:val="MTableFootnote"/>
    <w:basedOn w:val="Normal"/>
    <w:qFormat/>
    <w:rsid w:val="00DD2B35"/>
    <w:pPr>
      <w:spacing w:before="120" w:after="240" w:line="240" w:lineRule="auto"/>
      <w:jc w:val="both"/>
    </w:pPr>
    <w:rPr>
      <w:i/>
      <w:iCs/>
      <w:sz w:val="18"/>
      <w:szCs w:val="18"/>
    </w:rPr>
  </w:style>
  <w:style w:type="paragraph" w:customStyle="1" w:styleId="MParagraph">
    <w:name w:val="MParagraph"/>
    <w:basedOn w:val="Normal"/>
    <w:qFormat/>
    <w:rsid w:val="00263DBF"/>
    <w:pPr>
      <w:spacing w:before="120" w:after="120" w:line="276" w:lineRule="auto"/>
      <w:ind w:left="851"/>
      <w:jc w:val="both"/>
    </w:pPr>
  </w:style>
  <w:style w:type="paragraph" w:customStyle="1" w:styleId="MBullet">
    <w:name w:val="MBullet"/>
    <w:basedOn w:val="MParagraph"/>
    <w:qFormat/>
    <w:rsid w:val="00D77E32"/>
    <w:pPr>
      <w:numPr>
        <w:numId w:val="1"/>
      </w:numPr>
      <w:spacing w:before="60" w:after="60"/>
      <w:ind w:left="1135" w:hanging="284"/>
    </w:pPr>
  </w:style>
  <w:style w:type="paragraph" w:customStyle="1" w:styleId="MSublist">
    <w:name w:val="MSublist"/>
    <w:basedOn w:val="MBullet"/>
    <w:qFormat/>
    <w:rsid w:val="00D77E32"/>
    <w:pPr>
      <w:numPr>
        <w:numId w:val="2"/>
      </w:numPr>
      <w:ind w:left="1559" w:hanging="425"/>
    </w:pPr>
  </w:style>
  <w:style w:type="paragraph" w:customStyle="1" w:styleId="MColumnHeading">
    <w:name w:val="MColumnHeading"/>
    <w:basedOn w:val="MTable"/>
    <w:qFormat/>
    <w:rsid w:val="004F42F1"/>
    <w:rPr>
      <w:b/>
      <w:bCs/>
      <w:caps/>
      <w:color w:val="FFFFFF" w:themeColor="background1"/>
    </w:rPr>
  </w:style>
  <w:style w:type="character" w:styleId="CommentReference">
    <w:name w:val="annotation reference"/>
    <w:basedOn w:val="DefaultParagraphFont"/>
    <w:uiPriority w:val="99"/>
    <w:semiHidden/>
    <w:unhideWhenUsed/>
    <w:rsid w:val="00FC5C2D"/>
    <w:rPr>
      <w:sz w:val="16"/>
      <w:szCs w:val="16"/>
    </w:rPr>
  </w:style>
  <w:style w:type="paragraph" w:styleId="CommentText">
    <w:name w:val="annotation text"/>
    <w:basedOn w:val="Normal"/>
    <w:link w:val="CommentTextChar"/>
    <w:uiPriority w:val="99"/>
    <w:unhideWhenUsed/>
    <w:rsid w:val="00FC5C2D"/>
    <w:pPr>
      <w:spacing w:line="240" w:lineRule="auto"/>
    </w:pPr>
    <w:rPr>
      <w:sz w:val="20"/>
      <w:szCs w:val="20"/>
    </w:rPr>
  </w:style>
  <w:style w:type="character" w:customStyle="1" w:styleId="CommentTextChar">
    <w:name w:val="Comment Text Char"/>
    <w:basedOn w:val="DefaultParagraphFont"/>
    <w:link w:val="CommentText"/>
    <w:uiPriority w:val="99"/>
    <w:rsid w:val="00FC5C2D"/>
    <w:rPr>
      <w:sz w:val="20"/>
      <w:szCs w:val="20"/>
    </w:rPr>
  </w:style>
  <w:style w:type="paragraph" w:styleId="CommentSubject">
    <w:name w:val="annotation subject"/>
    <w:basedOn w:val="CommentText"/>
    <w:next w:val="CommentText"/>
    <w:link w:val="CommentSubjectChar"/>
    <w:uiPriority w:val="99"/>
    <w:semiHidden/>
    <w:unhideWhenUsed/>
    <w:rsid w:val="00FC5C2D"/>
    <w:rPr>
      <w:b/>
      <w:bCs/>
    </w:rPr>
  </w:style>
  <w:style w:type="character" w:customStyle="1" w:styleId="CommentSubjectChar">
    <w:name w:val="Comment Subject Char"/>
    <w:basedOn w:val="CommentTextChar"/>
    <w:link w:val="CommentSubject"/>
    <w:uiPriority w:val="99"/>
    <w:semiHidden/>
    <w:rsid w:val="00FC5C2D"/>
    <w:rPr>
      <w:b/>
      <w:bCs/>
      <w:sz w:val="20"/>
      <w:szCs w:val="20"/>
    </w:rPr>
  </w:style>
  <w:style w:type="paragraph" w:styleId="FootnoteText">
    <w:name w:val="footnote text"/>
    <w:basedOn w:val="Normal"/>
    <w:link w:val="FootnoteTextChar"/>
    <w:uiPriority w:val="99"/>
    <w:semiHidden/>
    <w:unhideWhenUsed/>
    <w:rsid w:val="00263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747"/>
    <w:rPr>
      <w:sz w:val="20"/>
      <w:szCs w:val="20"/>
    </w:rPr>
  </w:style>
  <w:style w:type="character" w:styleId="FootnoteReference">
    <w:name w:val="footnote reference"/>
    <w:basedOn w:val="DefaultParagraphFont"/>
    <w:uiPriority w:val="99"/>
    <w:semiHidden/>
    <w:unhideWhenUsed/>
    <w:rsid w:val="00263747"/>
    <w:rPr>
      <w:vertAlign w:val="superscript"/>
    </w:rPr>
  </w:style>
  <w:style w:type="paragraph" w:customStyle="1" w:styleId="MBoxHeading">
    <w:name w:val="MBoxHeading"/>
    <w:qFormat/>
    <w:rsid w:val="007C28C2"/>
    <w:pPr>
      <w:spacing w:before="120" w:after="120" w:line="240" w:lineRule="auto"/>
      <w:ind w:left="57" w:right="57"/>
    </w:pPr>
    <w:rPr>
      <w:b/>
      <w:bCs/>
      <w:caps/>
    </w:rPr>
  </w:style>
  <w:style w:type="paragraph" w:customStyle="1" w:styleId="MBoxText">
    <w:name w:val="MBoxText"/>
    <w:qFormat/>
    <w:rsid w:val="00605BD6"/>
    <w:pPr>
      <w:spacing w:after="120" w:line="240" w:lineRule="auto"/>
      <w:ind w:left="57" w:right="57"/>
    </w:pPr>
    <w:rPr>
      <w:bCs/>
      <w:sz w:val="20"/>
    </w:rPr>
  </w:style>
  <w:style w:type="paragraph" w:customStyle="1" w:styleId="MBoxBullet">
    <w:name w:val="MBoxBullet"/>
    <w:qFormat/>
    <w:rsid w:val="00605BD6"/>
    <w:pPr>
      <w:numPr>
        <w:numId w:val="3"/>
      </w:numPr>
      <w:spacing w:after="120" w:line="240" w:lineRule="auto"/>
      <w:ind w:left="341" w:right="57" w:hanging="284"/>
      <w:jc w:val="both"/>
    </w:pPr>
    <w:rPr>
      <w:bCs/>
      <w:sz w:val="20"/>
    </w:rPr>
  </w:style>
  <w:style w:type="paragraph" w:customStyle="1" w:styleId="MBoxList">
    <w:name w:val="MBoxList"/>
    <w:qFormat/>
    <w:rsid w:val="00605BD6"/>
    <w:pPr>
      <w:numPr>
        <w:numId w:val="4"/>
      </w:numPr>
      <w:spacing w:after="120" w:line="240" w:lineRule="auto"/>
      <w:ind w:left="607" w:right="57" w:hanging="284"/>
      <w:jc w:val="both"/>
    </w:pPr>
    <w:rPr>
      <w:bCs/>
      <w:sz w:val="20"/>
    </w:rPr>
  </w:style>
  <w:style w:type="character" w:styleId="Hyperlink">
    <w:name w:val="Hyperlink"/>
    <w:semiHidden/>
    <w:unhideWhenUsed/>
    <w:rsid w:val="0033073F"/>
    <w:rPr>
      <w:color w:val="0000FF"/>
      <w:u w:val="single"/>
    </w:rPr>
  </w:style>
  <w:style w:type="character" w:customStyle="1" w:styleId="ListParagraphChar">
    <w:name w:val="List Paragraph Char"/>
    <w:aliases w:val="Riana Table Bullets 1 Char,Indent Paragraph Char,List Paragraph 1 Char,Standard Paragraph Char,3.1 Char,Grey Bullet List Char,Grey Bullet Style Char,Dot pt Char,F5 List Paragraph Char,List Paragraph1 Char,Indicator Text Char"/>
    <w:link w:val="ListParagraph"/>
    <w:uiPriority w:val="34"/>
    <w:qFormat/>
    <w:locked/>
    <w:rsid w:val="0033073F"/>
  </w:style>
  <w:style w:type="character" w:customStyle="1" w:styleId="issue-underline">
    <w:name w:val="issue-underline"/>
    <w:basedOn w:val="DefaultParagraphFont"/>
    <w:rsid w:val="0033073F"/>
  </w:style>
  <w:style w:type="paragraph" w:customStyle="1" w:styleId="HeaderMessage">
    <w:name w:val="Header Message"/>
    <w:basedOn w:val="Normal"/>
    <w:link w:val="HeaderMessageChar"/>
    <w:uiPriority w:val="99"/>
    <w:semiHidden/>
    <w:unhideWhenUsed/>
    <w:rsid w:val="008F30D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HeaderMessageChar">
    <w:name w:val="Header Message Char"/>
    <w:basedOn w:val="DefaultParagraphFont"/>
    <w:link w:val="HeaderMessage"/>
    <w:uiPriority w:val="99"/>
    <w:semiHidden/>
    <w:rsid w:val="008F30D8"/>
    <w:rPr>
      <w:rFonts w:asciiTheme="majorHAnsi" w:eastAsiaTheme="majorEastAsia" w:hAnsiTheme="majorHAnsi" w:cstheme="majorBidi"/>
      <w:sz w:val="24"/>
      <w:szCs w:val="24"/>
      <w:shd w:val="pct20" w:color="auto" w:fill="auto"/>
    </w:rPr>
  </w:style>
  <w:style w:type="paragraph" w:customStyle="1" w:styleId="MH6">
    <w:name w:val="MH6"/>
    <w:basedOn w:val="MH5"/>
    <w:qFormat/>
    <w:rsid w:val="001F1FFC"/>
    <w:pPr>
      <w:keepNext/>
      <w:keepLines/>
      <w:widowControl/>
      <w:numPr>
        <w:ilvl w:val="2"/>
      </w:numPr>
    </w:pPr>
    <w:rPr>
      <w:caps w:val="0"/>
      <w:color w:val="auto"/>
      <w:sz w:val="24"/>
    </w:rPr>
  </w:style>
  <w:style w:type="paragraph" w:customStyle="1" w:styleId="ParRed">
    <w:name w:val="ParRed"/>
    <w:basedOn w:val="MParagraph"/>
    <w:qFormat/>
    <w:rsid w:val="003B0EDE"/>
    <w:pPr>
      <w:ind w:left="0"/>
    </w:pPr>
    <w:rPr>
      <w:b/>
      <w:bCs/>
      <w:color w:val="B4111A" w:themeColor="accent1"/>
    </w:rPr>
  </w:style>
  <w:style w:type="paragraph" w:styleId="Revision">
    <w:name w:val="Revision"/>
    <w:hidden/>
    <w:uiPriority w:val="99"/>
    <w:semiHidden/>
    <w:rsid w:val="00C64F2A"/>
    <w:pPr>
      <w:spacing w:after="0" w:line="240" w:lineRule="auto"/>
    </w:pPr>
  </w:style>
  <w:style w:type="character" w:customStyle="1" w:styleId="Heading1Char">
    <w:name w:val="Heading 1 Char"/>
    <w:basedOn w:val="DefaultParagraphFont"/>
    <w:link w:val="Heading1"/>
    <w:rsid w:val="00B17DF9"/>
    <w:rPr>
      <w:rFonts w:asciiTheme="majorHAnsi" w:eastAsiaTheme="majorEastAsia" w:hAnsiTheme="majorHAnsi" w:cstheme="majorBidi"/>
      <w:color w:val="860C13" w:themeColor="accent1" w:themeShade="BF"/>
      <w:sz w:val="32"/>
      <w:szCs w:val="32"/>
    </w:rPr>
  </w:style>
  <w:style w:type="character" w:customStyle="1" w:styleId="Heading2Char">
    <w:name w:val="Heading 2 Char"/>
    <w:basedOn w:val="DefaultParagraphFont"/>
    <w:link w:val="Heading2"/>
    <w:rsid w:val="00B17DF9"/>
    <w:rPr>
      <w:rFonts w:asciiTheme="majorHAnsi" w:eastAsiaTheme="majorEastAsia" w:hAnsiTheme="majorHAnsi" w:cstheme="majorBidi"/>
      <w:color w:val="860C13" w:themeColor="accent1" w:themeShade="BF"/>
      <w:sz w:val="26"/>
      <w:szCs w:val="26"/>
    </w:rPr>
  </w:style>
  <w:style w:type="character" w:customStyle="1" w:styleId="Heading3Char">
    <w:name w:val="Heading 3 Char"/>
    <w:basedOn w:val="DefaultParagraphFont"/>
    <w:link w:val="Heading3"/>
    <w:rsid w:val="00B17DF9"/>
    <w:rPr>
      <w:rFonts w:asciiTheme="majorHAnsi" w:eastAsiaTheme="majorEastAsia" w:hAnsiTheme="majorHAnsi" w:cstheme="majorBidi"/>
      <w:color w:val="59080C" w:themeColor="accent1" w:themeShade="7F"/>
      <w:sz w:val="24"/>
      <w:szCs w:val="24"/>
    </w:rPr>
  </w:style>
  <w:style w:type="paragraph" w:styleId="TOC1">
    <w:name w:val="toc 1"/>
    <w:basedOn w:val="Normal"/>
    <w:next w:val="Normal"/>
    <w:autoRedefine/>
    <w:uiPriority w:val="39"/>
    <w:unhideWhenUsed/>
    <w:rsid w:val="006266C0"/>
    <w:pPr>
      <w:tabs>
        <w:tab w:val="left" w:pos="480"/>
        <w:tab w:val="right" w:leader="dot" w:pos="9017"/>
      </w:tabs>
      <w:spacing w:before="120" w:after="120" w:line="257" w:lineRule="auto"/>
    </w:pPr>
    <w:rPr>
      <w:b/>
      <w:bCs/>
      <w:caps/>
      <w:noProof/>
    </w:rPr>
  </w:style>
  <w:style w:type="paragraph" w:customStyle="1" w:styleId="M7">
    <w:name w:val="M7"/>
    <w:basedOn w:val="MParagraph"/>
    <w:qFormat/>
    <w:rsid w:val="00A002CD"/>
    <w:pPr>
      <w:spacing w:before="240"/>
    </w:pPr>
    <w:rPr>
      <w:b/>
      <w:sz w:val="24"/>
    </w:rPr>
  </w:style>
  <w:style w:type="paragraph" w:customStyle="1" w:styleId="H7Roman">
    <w:name w:val="H7Roman"/>
    <w:basedOn w:val="M7"/>
    <w:qFormat/>
    <w:rsid w:val="00A002CD"/>
    <w:pPr>
      <w:numPr>
        <w:numId w:val="6"/>
      </w:numPr>
      <w:ind w:left="851" w:hanging="851"/>
    </w:pPr>
    <w:rPr>
      <w:caps/>
      <w:szCs w:val="20"/>
    </w:rPr>
  </w:style>
  <w:style w:type="paragraph" w:customStyle="1" w:styleId="MRomanBullet">
    <w:name w:val="MRomanBullet"/>
    <w:basedOn w:val="MBullet"/>
    <w:qFormat/>
    <w:rsid w:val="00A002CD"/>
    <w:pPr>
      <w:numPr>
        <w:numId w:val="7"/>
      </w:numPr>
      <w:ind w:left="1248" w:hanging="397"/>
    </w:pPr>
  </w:style>
  <w:style w:type="paragraph" w:customStyle="1" w:styleId="MBoldHead">
    <w:name w:val="MBoldHead"/>
    <w:basedOn w:val="MParagraph"/>
    <w:qFormat/>
    <w:rsid w:val="000D77F9"/>
    <w:pPr>
      <w:spacing w:before="240"/>
    </w:pPr>
    <w:rPr>
      <w:b/>
      <w:sz w:val="24"/>
    </w:rPr>
  </w:style>
  <w:style w:type="paragraph" w:customStyle="1" w:styleId="MMiddleHead">
    <w:name w:val="MMiddleHead"/>
    <w:basedOn w:val="MParagraph"/>
    <w:qFormat/>
    <w:rsid w:val="00D660EE"/>
    <w:pPr>
      <w:keepNext/>
      <w:spacing w:before="360" w:after="360"/>
      <w:ind w:left="0"/>
      <w:jc w:val="center"/>
    </w:pPr>
    <w:rPr>
      <w:b/>
      <w:sz w:val="24"/>
    </w:rPr>
  </w:style>
  <w:style w:type="paragraph" w:customStyle="1" w:styleId="MFullPar">
    <w:name w:val="MFullPar"/>
    <w:basedOn w:val="MParagraph"/>
    <w:qFormat/>
    <w:rsid w:val="004D3815"/>
    <w:pPr>
      <w:ind w:left="0"/>
    </w:pPr>
  </w:style>
  <w:style w:type="paragraph" w:styleId="TOC2">
    <w:name w:val="toc 2"/>
    <w:basedOn w:val="Normal"/>
    <w:next w:val="Normal"/>
    <w:autoRedefine/>
    <w:uiPriority w:val="39"/>
    <w:unhideWhenUsed/>
    <w:rsid w:val="006266C0"/>
    <w:pPr>
      <w:tabs>
        <w:tab w:val="left" w:pos="960"/>
        <w:tab w:val="right" w:leader="dot" w:pos="9017"/>
      </w:tabs>
      <w:spacing w:after="100"/>
      <w:ind w:left="426"/>
    </w:pPr>
    <w:rPr>
      <w:noProof/>
    </w:rPr>
  </w:style>
  <w:style w:type="paragraph" w:customStyle="1" w:styleId="MClauseParHead">
    <w:name w:val="MClauseParHead"/>
    <w:basedOn w:val="MFullPar"/>
    <w:qFormat/>
    <w:rsid w:val="00D660EE"/>
    <w:pPr>
      <w:spacing w:before="240"/>
    </w:pPr>
    <w:rPr>
      <w:b/>
      <w:bCs/>
    </w:rPr>
  </w:style>
  <w:style w:type="paragraph" w:customStyle="1" w:styleId="MFullBullet">
    <w:name w:val="MFullBullet"/>
    <w:basedOn w:val="MFullPar"/>
    <w:qFormat/>
    <w:rsid w:val="00CE188D"/>
    <w:pPr>
      <w:numPr>
        <w:numId w:val="8"/>
      </w:numPr>
      <w:ind w:left="284" w:hanging="284"/>
    </w:pPr>
    <w:rPr>
      <w:bCs/>
    </w:rPr>
  </w:style>
  <w:style w:type="paragraph" w:customStyle="1" w:styleId="MFullSublist">
    <w:name w:val="MFullSublist"/>
    <w:basedOn w:val="MFullBullet"/>
    <w:qFormat/>
    <w:rsid w:val="00CE188D"/>
    <w:pPr>
      <w:numPr>
        <w:numId w:val="9"/>
      </w:numPr>
      <w:spacing w:before="80" w:after="80"/>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69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10202\Documents\Custom%20Office%20Templates\Nr%20one%20side%20numbering%20Template.dotx" TargetMode="External"/></Relationships>
</file>

<file path=word/theme/theme1.xml><?xml version="1.0" encoding="utf-8"?>
<a:theme xmlns:a="http://schemas.openxmlformats.org/drawingml/2006/main" name="Office Theme">
  <a:themeElements>
    <a:clrScheme name="NT colours">
      <a:dk1>
        <a:srgbClr val="000000"/>
      </a:dk1>
      <a:lt1>
        <a:sysClr val="window" lastClr="FFFFFF"/>
      </a:lt1>
      <a:dk2>
        <a:srgbClr val="939598"/>
      </a:dk2>
      <a:lt2>
        <a:srgbClr val="F2F2F2"/>
      </a:lt2>
      <a:accent1>
        <a:srgbClr val="B4111A"/>
      </a:accent1>
      <a:accent2>
        <a:srgbClr val="F5833C"/>
      </a:accent2>
      <a:accent3>
        <a:srgbClr val="DCB95B"/>
      </a:accent3>
      <a:accent4>
        <a:srgbClr val="0AA145"/>
      </a:accent4>
      <a:accent5>
        <a:srgbClr val="006AA0"/>
      </a:accent5>
      <a:accent6>
        <a:srgbClr val="00A0D9"/>
      </a:accent6>
      <a:hlink>
        <a:srgbClr val="4F81BD"/>
      </a:hlink>
      <a:folHlink>
        <a:srgbClr val="4F81B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9C64AE78AB1244A6DC6892C8C0ED17" ma:contentTypeVersion="15" ma:contentTypeDescription="Create a new document." ma:contentTypeScope="" ma:versionID="da6ef0590d3c30a23d5722a09f1b60cc">
  <xsd:schema xmlns:xsd="http://www.w3.org/2001/XMLSchema" xmlns:xs="http://www.w3.org/2001/XMLSchema" xmlns:p="http://schemas.microsoft.com/office/2006/metadata/properties" xmlns:ns3="72c66eaf-207a-4cac-85ab-0b0bbe8ac1dc" xmlns:ns4="27363850-3293-40cb-9955-50b7a6136058" targetNamespace="http://schemas.microsoft.com/office/2006/metadata/properties" ma:root="true" ma:fieldsID="5d58312e147b979ffc3b0ada9c704206" ns3:_="" ns4:_="">
    <xsd:import namespace="72c66eaf-207a-4cac-85ab-0b0bbe8ac1dc"/>
    <xsd:import namespace="27363850-3293-40cb-9955-50b7a613605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66eaf-207a-4cac-85ab-0b0bbe8ac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363850-3293-40cb-9955-50b7a61360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2c66eaf-207a-4cac-85ab-0b0bbe8ac1dc" xsi:nil="true"/>
  </documentManagement>
</p:properties>
</file>

<file path=customXml/itemProps1.xml><?xml version="1.0" encoding="utf-8"?>
<ds:datastoreItem xmlns:ds="http://schemas.openxmlformats.org/officeDocument/2006/customXml" ds:itemID="{EA61CD91-F995-48CE-AB5F-240B74B2810C}">
  <ds:schemaRefs>
    <ds:schemaRef ds:uri="http://schemas.openxmlformats.org/officeDocument/2006/bibliography"/>
  </ds:schemaRefs>
</ds:datastoreItem>
</file>

<file path=customXml/itemProps2.xml><?xml version="1.0" encoding="utf-8"?>
<ds:datastoreItem xmlns:ds="http://schemas.openxmlformats.org/officeDocument/2006/customXml" ds:itemID="{66541B7B-1080-49F3-AF6F-5236BC502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66eaf-207a-4cac-85ab-0b0bbe8ac1dc"/>
    <ds:schemaRef ds:uri="27363850-3293-40cb-9955-50b7a6136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0305E8-F675-4A1E-8E00-1EEA112077D2}">
  <ds:schemaRefs>
    <ds:schemaRef ds:uri="http://schemas.microsoft.com/sharepoint/v3/contenttype/forms"/>
  </ds:schemaRefs>
</ds:datastoreItem>
</file>

<file path=customXml/itemProps4.xml><?xml version="1.0" encoding="utf-8"?>
<ds:datastoreItem xmlns:ds="http://schemas.openxmlformats.org/officeDocument/2006/customXml" ds:itemID="{4ABD7662-1A64-43D3-8D66-DFC571D18A85}">
  <ds:schemaRefs>
    <ds:schemaRef ds:uri="http://schemas.microsoft.com/office/2006/metadata/properties"/>
    <ds:schemaRef ds:uri="http://schemas.microsoft.com/office/infopath/2007/PartnerControls"/>
    <ds:schemaRef ds:uri="72c66eaf-207a-4cac-85ab-0b0bbe8ac1dc"/>
  </ds:schemaRefs>
</ds:datastoreItem>
</file>

<file path=docProps/app.xml><?xml version="1.0" encoding="utf-8"?>
<Properties xmlns="http://schemas.openxmlformats.org/officeDocument/2006/extended-properties" xmlns:vt="http://schemas.openxmlformats.org/officeDocument/2006/docPropsVTypes">
  <Template>Nr one side numbering Template</Template>
  <TotalTime>15</TotalTime>
  <Pages>6</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Badenhorst</dc:creator>
  <cp:keywords/>
  <dc:description/>
  <cp:lastModifiedBy>Aneesa Baig</cp:lastModifiedBy>
  <cp:revision>7</cp:revision>
  <cp:lastPrinted>2023-10-04T06:46:00Z</cp:lastPrinted>
  <dcterms:created xsi:type="dcterms:W3CDTF">2025-04-04T05:45:00Z</dcterms:created>
  <dcterms:modified xsi:type="dcterms:W3CDTF">2025-05-16T14:05:00Z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0x010100819C64AE78AB1244A6DC6892C8C0ED17</vt:lpwstr>
  </property>
</Properties>
</file>